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8"/>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9"/>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25</w:t>
      </w:r>
      <w:r>
        <w:rPr>
          <w:rFonts w:hAnsi="黑体"/>
        </w:rPr>
        <w:t>.</w:t>
      </w:r>
      <w:r>
        <w:rPr>
          <w:rFonts w:hint="eastAsia" w:hAnsi="黑体"/>
          <w:lang w:val="en-US" w:eastAsia="zh-CN"/>
        </w:rPr>
        <w:t>6</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0"/>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mDy&#10;y9YAAAAIAQAADwAAAAAAAAABACAAAAAiAAAAZHJzL2Rvd25yZXYueG1sUEsBAhQAFAAAAAgAh07i&#10;QJgMvFeyAQAAagMAAA4AAAAAAAAAAQAgAAAAJQEAAGRycy9lMm9Eb2MueG1sUEsFBgAAAAAGAAYA&#10;WQEAAEkFAAAAAA==&#10;">
                      <v:fill on="t" focussize="0,0"/>
                      <v:stroke on="f"/>
                      <v:imagedata o:title=""/>
                      <o:lock v:ext="edit" aspectratio="f"/>
                      <v:textbox>
                        <w:txbxContent>
                          <w:p/>
                        </w:txbxContent>
                      </v:textbox>
                    </v:rect>
                  </w:pict>
                </mc:Fallback>
              </mc:AlternateContent>
            </w:r>
            <w:bookmarkEnd w:id="5"/>
          </w:p>
        </w:tc>
      </w:tr>
    </w:tbl>
    <w:p>
      <w:pPr>
        <w:pStyle w:val="9"/>
        <w:rPr>
          <w:rFonts w:hAnsi="黑体"/>
        </w:rPr>
      </w:pPr>
    </w:p>
    <w:p>
      <w:pPr>
        <w:pStyle w:val="9"/>
        <w:rPr>
          <w:rFonts w:hAnsi="黑体"/>
        </w:rPr>
      </w:pPr>
    </w:p>
    <w:p>
      <w:pPr>
        <w:pStyle w:val="11"/>
      </w:pPr>
      <w:bookmarkStart w:id="6" w:name="StdName"/>
      <w:r>
        <w:rPr>
          <w:color w:val="000000"/>
        </w:rPr>
        <w:fldChar w:fldCharType="begin">
          <w:ffData>
            <w:name w:val="StdName"/>
            <w:enabled/>
            <w:calcOnExit w:val="0"/>
            <w:textInput>
              <w:default w:val="点击此处添加标准名称"/>
            </w:textInput>
          </w:ffData>
        </w:fldChar>
      </w:r>
      <w:r>
        <w:rPr>
          <w:color w:val="000000"/>
        </w:rPr>
        <w:instrText xml:space="preserve"> FORMTEXT </w:instrText>
      </w:r>
      <w:r>
        <w:rPr>
          <w:color w:val="000000"/>
        </w:rPr>
        <w:fldChar w:fldCharType="separate"/>
      </w:r>
      <w:r>
        <w:rPr>
          <w:rFonts w:hint="eastAsia"/>
          <w:color w:val="000000"/>
          <w:lang w:eastAsia="zh-CN"/>
        </w:rPr>
        <w:t>大麦</w:t>
      </w:r>
      <w:r>
        <w:rPr>
          <w:rFonts w:hint="eastAsia"/>
          <w:color w:val="000000"/>
        </w:rPr>
        <w:t xml:space="preserve">                                第</w:t>
      </w:r>
      <w:r>
        <w:rPr>
          <w:rFonts w:hint="eastAsia"/>
          <w:color w:val="000000"/>
          <w:lang w:val="en-US" w:eastAsia="zh-CN"/>
        </w:rPr>
        <w:t>6</w:t>
      </w:r>
      <w:r>
        <w:rPr>
          <w:rFonts w:hint="eastAsia"/>
          <w:color w:val="000000"/>
        </w:rPr>
        <w:t>部分：</w:t>
      </w:r>
      <w:r>
        <w:rPr>
          <w:rFonts w:hint="eastAsia"/>
          <w:color w:val="000000"/>
          <w:lang w:eastAsia="zh-CN"/>
        </w:rPr>
        <w:t>包装</w:t>
      </w:r>
      <w:r>
        <w:rPr>
          <w:color w:val="000000"/>
        </w:rPr>
        <w:fldChar w:fldCharType="end"/>
      </w:r>
      <w:bookmarkEnd w:id="6"/>
    </w:p>
    <w:p>
      <w:pPr>
        <w:pStyle w:val="12"/>
      </w:pPr>
    </w:p>
    <w:p>
      <w:pPr>
        <w:pStyle w:val="13"/>
      </w:pPr>
    </w:p>
    <w:p>
      <w:pPr>
        <w:pStyle w:val="14"/>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rPr>
        <w:t>1</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KkITfX0AQAA5AMAAA4AAAAAAAAAAQAgAAAAJQEAAGRycy9lMm9Eb2MueG1sUEsF&#10;BgAAAAAGAAYAWQEAAIsFAAAAAA==&#10;">
                <v:fill on="f" focussize="0,0"/>
                <v:stroke color="#000000" joinstyle="round"/>
                <v:imagedata o:title=""/>
                <o:lock v:ext="edit" aspectratio="f"/>
                <w10:anchorlock/>
              </v:line>
            </w:pict>
          </mc:Fallback>
        </mc:AlternateContent>
      </w:r>
    </w:p>
    <w:p>
      <w:pPr>
        <w:pStyle w:val="16"/>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lang w:val="en-US" w:eastAsia="zh-CN"/>
        </w:rPr>
        <w:t>15</w:t>
      </w:r>
      <w:r>
        <w:rPr>
          <w:rFonts w:hint="eastAsia"/>
        </w:rPr>
        <w:t>实施</w:t>
      </w:r>
    </w:p>
    <w:p>
      <w:pPr>
        <w:pStyle w:val="18"/>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1"/>
          <w:rFonts w:hint="eastAsia"/>
        </w:rPr>
        <w:t>发布</w:t>
      </w:r>
    </w:p>
    <w:p/>
    <w:p/>
    <w:p/>
    <w:p>
      <w:r>
        <mc:AlternateContent>
          <mc:Choice Requires="wps">
            <w:drawing>
              <wp:anchor distT="0" distB="0" distL="114300" distR="114300" simplePos="0" relativeHeight="251661312" behindDoc="0" locked="1" layoutInCell="1" allowOverlap="1">
                <wp:simplePos x="0" y="0"/>
                <wp:positionH relativeFrom="column">
                  <wp:posOffset>-124460</wp:posOffset>
                </wp:positionH>
                <wp:positionV relativeFrom="page">
                  <wp:posOffset>2698750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pt;margin-top:212.5pt;height:0pt;width:481.9pt;mso-position-vertical-relative:page;z-index:251661312;mso-width-relative:page;mso-height-relative:page;" filled="f" stroked="t" coordsize="21600,21600" o:gfxdata="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ZdTgPYAAAACwEAAA8AAAAAAAAAAQAgAAAAIgAAAGRycy9kb3ducmV2LnhtbFBLAQIU&#10;ABQAAAAIAIdO4kCL3oUv8wEAAOQDAAAOAAAAAAAAAAEAIAAAACcBAABkcnMvZTJvRG9jLnhtbFBL&#10;BQYAAAAABgAGAFkBAACMBQAAAAA=&#10;">
                <v:fill on="f" focussize="0,0"/>
                <v:stroke color="#000000" joinstyle="round"/>
                <v:imagedata o:title=""/>
                <o:lock v:ext="edit" aspectratio="f"/>
                <w10:anchorlock/>
              </v:line>
            </w:pict>
          </mc:Fallback>
        </mc:AlternateContent>
      </w:r>
    </w:p>
    <w:p/>
    <w:p/>
    <w:p/>
    <w:p/>
    <w:p/>
    <w:p/>
    <w:p/>
    <w:p>
      <w:pPr>
        <w:pStyle w:val="22"/>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2"/>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0"/>
        <w:rPr>
          <w:rFonts w:hint="eastAsia"/>
        </w:rPr>
      </w:pPr>
      <w:r>
        <w:rPr>
          <w:rFonts w:hint="eastAsia"/>
        </w:rPr>
        <w:t>本文件按照GB/T 1.1-2020《标准化工作导则 第1部分：标准化文件的结构和起草规则》给出的规则起草。</w:t>
      </w:r>
    </w:p>
    <w:p>
      <w:pPr>
        <w:pStyle w:val="20"/>
        <w:rPr>
          <w:rFonts w:hint="eastAsia"/>
        </w:rPr>
      </w:pPr>
      <w:r>
        <w:rPr>
          <w:rFonts w:hint="eastAsia"/>
        </w:rPr>
        <w:t>本文件起草单位: 云南天质弘耕科技有限公司。</w:t>
      </w:r>
    </w:p>
    <w:p>
      <w:pPr>
        <w:pStyle w:val="20"/>
        <w:rPr>
          <w:rFonts w:hint="eastAsia"/>
        </w:rPr>
      </w:pPr>
      <w:r>
        <w:rPr>
          <w:rFonts w:hint="eastAsia"/>
        </w:rPr>
        <w:t>本文件主要起草人:李美琼、李佩龙、杨发宝。</w:t>
      </w:r>
    </w:p>
    <w:p/>
    <w:p/>
    <w:p/>
    <w:p/>
    <w:p/>
    <w:p/>
    <w:p/>
    <w:p/>
    <w:p/>
    <w:p/>
    <w:p/>
    <w:p/>
    <w:p/>
    <w:p/>
    <w:p/>
    <w:p/>
    <w:p/>
    <w:p/>
    <w:p/>
    <w:p/>
    <w:p/>
    <w:p/>
    <w:p/>
    <w:p/>
    <w:p/>
    <w:p/>
    <w:p/>
    <w:p/>
    <w:p/>
    <w:p/>
    <w:p/>
    <w:p/>
    <w:p/>
    <w:p>
      <w:pPr>
        <w:pStyle w:val="26"/>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6"/>
        <w:rPr>
          <w:rFonts w:hint="eastAsia"/>
        </w:rPr>
      </w:pPr>
      <w:r>
        <w:rPr>
          <w:rFonts w:hint="eastAsia"/>
          <w:lang w:eastAsia="zh-CN"/>
        </w:rPr>
        <w:t>大麦</w:t>
      </w:r>
      <w:r>
        <w:rPr>
          <w:rFonts w:hint="eastAsia"/>
        </w:rPr>
        <w:t xml:space="preserve">   </w:t>
      </w:r>
      <w:r>
        <w:rPr>
          <w:rFonts w:hint="eastAsia"/>
          <w:color w:val="0000FF"/>
        </w:rPr>
        <w:t xml:space="preserve">       </w:t>
      </w:r>
      <w:r>
        <w:rPr>
          <w:rFonts w:hint="eastAsia"/>
        </w:rPr>
        <w:t xml:space="preserve">                                           第6部分：包装</w:t>
      </w:r>
    </w:p>
    <w:p>
      <w:pPr>
        <w:pStyle w:val="27"/>
        <w:rPr>
          <w:rFonts w:hint="eastAsia"/>
        </w:rPr>
      </w:pPr>
      <w:r>
        <w:rPr>
          <w:rFonts w:hint="eastAsia"/>
        </w:rPr>
        <w:t>范围</w:t>
      </w:r>
    </w:p>
    <w:p>
      <w:pPr>
        <w:pStyle w:val="20"/>
        <w:rPr>
          <w:rFonts w:hint="eastAsia"/>
          <w:color w:val="000000"/>
          <w:szCs w:val="22"/>
        </w:rPr>
      </w:pPr>
      <w:r>
        <w:rPr>
          <w:rFonts w:hint="eastAsia"/>
          <w:color w:val="000000"/>
          <w:szCs w:val="22"/>
        </w:rPr>
        <w:t>本文件规定了</w:t>
      </w:r>
      <w:r>
        <w:rPr>
          <w:rFonts w:hint="eastAsia"/>
          <w:color w:val="000000"/>
          <w:szCs w:val="22"/>
          <w:lang w:eastAsia="zh-CN"/>
        </w:rPr>
        <w:t>大麦</w:t>
      </w:r>
      <w:r>
        <w:rPr>
          <w:rFonts w:hint="eastAsia"/>
          <w:color w:val="000000"/>
          <w:szCs w:val="22"/>
        </w:rPr>
        <w:t>包装的术语和定义、基本要求、包装材料和包装方法。</w:t>
      </w:r>
    </w:p>
    <w:p>
      <w:pPr>
        <w:pStyle w:val="20"/>
        <w:rPr>
          <w:rFonts w:hint="eastAsia" w:eastAsia="宋体"/>
          <w:color w:val="000000"/>
          <w:szCs w:val="22"/>
          <w:lang w:eastAsia="zh-CN"/>
        </w:rPr>
      </w:pPr>
      <w:r>
        <w:rPr>
          <w:rFonts w:hint="eastAsia"/>
          <w:color w:val="000000"/>
          <w:szCs w:val="22"/>
        </w:rPr>
        <w:t>本文件适用于</w:t>
      </w:r>
      <w:r>
        <w:rPr>
          <w:rFonts w:hint="eastAsia"/>
          <w:color w:val="000000"/>
          <w:szCs w:val="22"/>
          <w:lang w:eastAsia="zh-CN"/>
        </w:rPr>
        <w:t>大麦包装。</w:t>
      </w:r>
    </w:p>
    <w:p>
      <w:pPr>
        <w:pStyle w:val="27"/>
        <w:rPr>
          <w:rFonts w:hint="eastAsia"/>
        </w:rPr>
      </w:pPr>
      <w:r>
        <w:rPr>
          <w:rFonts w:hint="eastAsia"/>
        </w:rPr>
        <w:t>规范性引用文件</w:t>
      </w:r>
    </w:p>
    <w:p>
      <w:pPr>
        <w:pStyle w:val="20"/>
        <w:rPr>
          <w:rFonts w:hint="eastAsia"/>
          <w:szCs w:val="22"/>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hint="eastAsia"/>
          <w:szCs w:val="22"/>
        </w:rPr>
        <w:t>文件。</w:t>
      </w:r>
    </w:p>
    <w:p>
      <w:pPr>
        <w:pStyle w:val="20"/>
      </w:pPr>
      <w:r>
        <w:rPr>
          <w:rFonts w:hint="eastAsia"/>
        </w:rPr>
        <w:t>GB/T 191 包装储运图示标志</w:t>
      </w:r>
    </w:p>
    <w:p>
      <w:pPr>
        <w:pStyle w:val="20"/>
        <w:rPr>
          <w:rFonts w:hint="eastAsia"/>
        </w:rPr>
      </w:pPr>
      <w:r>
        <w:rPr>
          <w:rFonts w:hint="eastAsia"/>
        </w:rPr>
        <w:t>GB/T 4857.5 包装 运输</w:t>
      </w:r>
      <w:r>
        <w:t>包装</w:t>
      </w:r>
      <w:r>
        <w:rPr>
          <w:rFonts w:hint="eastAsia"/>
        </w:rPr>
        <w:t>件 跌落</w:t>
      </w:r>
      <w:r>
        <w:t>试验方法</w:t>
      </w:r>
    </w:p>
    <w:p>
      <w:pPr>
        <w:pStyle w:val="20"/>
        <w:rPr>
          <w:rFonts w:hint="eastAsia"/>
        </w:rPr>
      </w:pPr>
      <w:r>
        <w:t xml:space="preserve">GB/T 9683 </w:t>
      </w:r>
      <w:r>
        <w:rPr>
          <w:rFonts w:hint="eastAsia"/>
        </w:rPr>
        <w:t>复合</w:t>
      </w:r>
      <w:r>
        <w:t>食品包装袋卫生标准</w:t>
      </w:r>
    </w:p>
    <w:p>
      <w:pPr>
        <w:pStyle w:val="20"/>
        <w:rPr>
          <w:rFonts w:hint="eastAsia"/>
        </w:rPr>
      </w:pPr>
      <w:r>
        <w:t xml:space="preserve">GB/T 9685 </w:t>
      </w:r>
      <w:r>
        <w:rPr>
          <w:rFonts w:hint="eastAsia"/>
        </w:rPr>
        <w:t>食品</w:t>
      </w:r>
      <w:r>
        <w:t>容器、包装材料用助剂使用卫生标准</w:t>
      </w:r>
    </w:p>
    <w:p>
      <w:pPr>
        <w:pStyle w:val="20"/>
        <w:rPr>
          <w:rFonts w:hint="eastAsia"/>
        </w:rPr>
      </w:pPr>
      <w:r>
        <w:t xml:space="preserve">GB/T 9686 </w:t>
      </w:r>
      <w:r>
        <w:rPr>
          <w:rFonts w:hint="eastAsia"/>
        </w:rPr>
        <w:t>食品</w:t>
      </w:r>
      <w:r>
        <w:t>容器</w:t>
      </w:r>
      <w:r>
        <w:rPr>
          <w:rFonts w:hint="eastAsia"/>
        </w:rPr>
        <w:t>内壁</w:t>
      </w:r>
      <w:r>
        <w:t>聚酰胺环氧树脂涂料卫生标准</w:t>
      </w:r>
    </w:p>
    <w:p>
      <w:pPr>
        <w:pStyle w:val="27"/>
        <w:numPr>
          <w:ilvl w:val="0"/>
          <w:numId w:val="0"/>
        </w:numPr>
        <w:ind w:leftChars="0"/>
        <w:rPr>
          <w:rFonts w:hint="default"/>
          <w:szCs w:val="22"/>
        </w:rPr>
      </w:pPr>
      <w:bookmarkStart w:id="11" w:name="_Toc10544248"/>
      <w:bookmarkStart w:id="12" w:name="_Toc4575_WPSOffice_Level1"/>
      <w:bookmarkStart w:id="13" w:name="_Toc11311_WPSOffice_Level1"/>
      <w:bookmarkStart w:id="14" w:name="_Toc1295_WPSOffice_Level1"/>
      <w:bookmarkStart w:id="15" w:name="_Toc9494594"/>
      <w:bookmarkStart w:id="16" w:name="_Toc9437479"/>
      <w:r>
        <w:rPr>
          <w:rFonts w:hint="eastAsia"/>
          <w:szCs w:val="22"/>
        </w:rPr>
        <w:t>3  术语和定义</w:t>
      </w:r>
      <w:bookmarkEnd w:id="11"/>
      <w:bookmarkEnd w:id="12"/>
      <w:bookmarkEnd w:id="13"/>
      <w:bookmarkEnd w:id="14"/>
      <w:bookmarkEnd w:id="15"/>
      <w:bookmarkEnd w:id="16"/>
    </w:p>
    <w:p>
      <w:pPr>
        <w:spacing w:line="360" w:lineRule="auto"/>
        <w:ind w:firstLine="420" w:firstLineChars="200"/>
        <w:jc w:val="left"/>
        <w:rPr>
          <w:szCs w:val="21"/>
        </w:rPr>
      </w:pPr>
      <w:r>
        <w:rPr>
          <w:rFonts w:hint="eastAsia"/>
          <w:szCs w:val="21"/>
        </w:rPr>
        <w:t>下列术语和定义适用于本文件。</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rPr>
      </w:pPr>
      <w:bookmarkStart w:id="17" w:name="_Toc9494606"/>
      <w:bookmarkStart w:id="18" w:name="_Toc9437491"/>
      <w:bookmarkStart w:id="19" w:name="_Toc22236_WPSOffice_Level2"/>
      <w:r>
        <w:t xml:space="preserve">3.1 </w:t>
      </w:r>
      <w:bookmarkEnd w:id="17"/>
      <w:bookmarkEnd w:id="18"/>
      <w:bookmarkEnd w:id="19"/>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firstLine="420" w:firstLineChars="200"/>
        <w:textAlignment w:val="auto"/>
        <w:rPr>
          <w:szCs w:val="22"/>
        </w:rPr>
      </w:pPr>
      <w:r>
        <w:rPr>
          <w:szCs w:val="22"/>
        </w:rPr>
        <w:t>包装材料</w:t>
      </w:r>
    </w:p>
    <w:p>
      <w:pPr>
        <w:pStyle w:val="20"/>
        <w:ind w:firstLine="420" w:firstLineChars="200"/>
      </w:pPr>
      <w:r>
        <w:rPr>
          <w:rFonts w:hint="eastAsia"/>
        </w:rPr>
        <w:t>直接接触</w:t>
      </w:r>
      <w:r>
        <w:t>或可能接触供直接销售粮食的材料</w:t>
      </w:r>
      <w:r>
        <w:rPr>
          <w:rFonts w:hint="eastAsia"/>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szCs w:val="22"/>
        </w:rPr>
      </w:pPr>
      <w:r>
        <w:rPr>
          <w:szCs w:val="22"/>
        </w:rPr>
        <w:t>3.2</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firstLine="420" w:firstLineChars="200"/>
        <w:textAlignment w:val="auto"/>
        <w:rPr>
          <w:szCs w:val="22"/>
        </w:rPr>
      </w:pPr>
      <w:r>
        <w:rPr>
          <w:szCs w:val="22"/>
        </w:rPr>
        <w:t>包装容器</w:t>
      </w:r>
    </w:p>
    <w:p>
      <w:pPr>
        <w:pStyle w:val="20"/>
        <w:ind w:firstLine="420" w:firstLineChars="200"/>
      </w:pPr>
      <w:r>
        <w:rPr>
          <w:rFonts w:hint="eastAsia"/>
        </w:rPr>
        <w:t>盛装粮食</w:t>
      </w:r>
      <w:r>
        <w:t>加工产品的器具的总称</w:t>
      </w:r>
      <w:r>
        <w:rPr>
          <w:rFonts w:hint="eastAsia"/>
        </w:rPr>
        <w:t>。</w:t>
      </w:r>
    </w:p>
    <w:p>
      <w:pPr>
        <w:pStyle w:val="27"/>
        <w:numPr>
          <w:ilvl w:val="0"/>
          <w:numId w:val="0"/>
        </w:numPr>
        <w:ind w:leftChars="0"/>
        <w:rPr>
          <w:rFonts w:hint="eastAsia"/>
          <w:szCs w:val="22"/>
        </w:rPr>
      </w:pPr>
      <w:r>
        <w:rPr>
          <w:rFonts w:hint="eastAsia"/>
          <w:szCs w:val="22"/>
        </w:rPr>
        <w:t>4 技术要求</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szCs w:val="22"/>
        </w:rPr>
      </w:pPr>
      <w:r>
        <w:rPr>
          <w:rFonts w:hint="eastAsia"/>
          <w:szCs w:val="22"/>
        </w:rPr>
        <w:t>4.1 基本</w:t>
      </w:r>
      <w:r>
        <w:rPr>
          <w:szCs w:val="22"/>
        </w:rPr>
        <w:t>要求</w:t>
      </w:r>
    </w:p>
    <w:p>
      <w:pPr>
        <w:pStyle w:val="20"/>
        <w:ind w:firstLine="0" w:firstLineChars="0"/>
      </w:pPr>
      <w:r>
        <w:rPr>
          <w:rFonts w:hint="eastAsia" w:ascii="黑体" w:hAnsi="黑体" w:eastAsia="黑体" w:cs="黑体"/>
        </w:rPr>
        <w:t>4.1</w:t>
      </w:r>
      <w:r>
        <w:rPr>
          <w:rFonts w:hint="eastAsia" w:ascii="黑体" w:hAnsi="黑体" w:eastAsia="黑体" w:cs="黑体"/>
          <w:lang w:val="en-US" w:eastAsia="zh-CN"/>
        </w:rPr>
        <w:t>.</w:t>
      </w:r>
      <w:r>
        <w:rPr>
          <w:rFonts w:hint="eastAsia" w:ascii="黑体" w:hAnsi="黑体" w:eastAsia="黑体" w:cs="黑体"/>
        </w:rPr>
        <w:t>1</w:t>
      </w:r>
      <w:r>
        <w:rPr>
          <w:rFonts w:hint="eastAsia" w:ascii="黑体" w:hAnsi="黑体" w:eastAsia="黑体" w:cs="黑体"/>
          <w:lang w:val="en-US" w:eastAsia="zh-CN"/>
        </w:rPr>
        <w:t xml:space="preserve">  </w:t>
      </w:r>
      <w:r>
        <w:rPr>
          <w:rFonts w:hint="eastAsia"/>
        </w:rPr>
        <w:t>包装</w:t>
      </w:r>
      <w:r>
        <w:t>材料</w:t>
      </w:r>
      <w:r>
        <w:rPr>
          <w:rFonts w:hint="eastAsia"/>
        </w:rPr>
        <w:t>应清洁</w:t>
      </w:r>
      <w:r>
        <w:t>、卫生，不应与粮食发生化学作用</w:t>
      </w:r>
      <w:r>
        <w:rPr>
          <w:rFonts w:hint="eastAsia"/>
        </w:rPr>
        <w:t>而</w:t>
      </w:r>
      <w:r>
        <w:t>产生变化，符合国家有关食品卫生标准和管理办法的规定。</w:t>
      </w:r>
    </w:p>
    <w:p>
      <w:pPr>
        <w:pStyle w:val="20"/>
        <w:ind w:firstLine="0" w:firstLineChars="0"/>
      </w:pPr>
      <w:r>
        <w:rPr>
          <w:rFonts w:hint="eastAsia" w:ascii="黑体" w:hAnsi="黑体" w:eastAsia="黑体" w:cs="黑体"/>
        </w:rPr>
        <w:t>4.1.2</w:t>
      </w:r>
      <w:r>
        <w:rPr>
          <w:rFonts w:hint="eastAsia" w:ascii="黑体" w:hAnsi="黑体" w:eastAsia="黑体" w:cs="黑体"/>
          <w:lang w:val="en-US" w:eastAsia="zh-CN"/>
        </w:rPr>
        <w:t xml:space="preserve"> </w:t>
      </w:r>
      <w:r>
        <w:t xml:space="preserve"> </w:t>
      </w:r>
      <w:r>
        <w:rPr>
          <w:rFonts w:hint="eastAsia"/>
        </w:rPr>
        <w:t>包装容器</w:t>
      </w:r>
      <w:r>
        <w:t>应便于消费者开启、使用、搬运、储存；应能保护</w:t>
      </w:r>
      <w:r>
        <w:rPr>
          <w:rFonts w:hint="eastAsia"/>
        </w:rPr>
        <w:t>食用粮食</w:t>
      </w:r>
      <w:r>
        <w:t>安全、卫生，符合相应包装容器的卫生标准。</w:t>
      </w:r>
    </w:p>
    <w:p>
      <w:pPr>
        <w:pStyle w:val="20"/>
        <w:ind w:firstLine="0" w:firstLineChars="0"/>
        <w:rPr>
          <w:rFonts w:hint="eastAsia"/>
        </w:rPr>
      </w:pPr>
      <w:r>
        <w:rPr>
          <w:rFonts w:hint="eastAsia" w:ascii="黑体" w:hAnsi="黑体" w:eastAsia="黑体" w:cs="黑体"/>
        </w:rPr>
        <w:t>4.1.3</w:t>
      </w:r>
      <w:r>
        <w:t xml:space="preserve"> </w:t>
      </w:r>
      <w:r>
        <w:rPr>
          <w:rFonts w:hint="eastAsia"/>
          <w:lang w:val="en-US" w:eastAsia="zh-CN"/>
        </w:rPr>
        <w:t xml:space="preserve"> </w:t>
      </w:r>
      <w:r>
        <w:rPr>
          <w:rFonts w:hint="eastAsia"/>
        </w:rPr>
        <w:t>包装容器的</w:t>
      </w:r>
      <w:r>
        <w:t>生产应取得食品包装卫生许可证。</w:t>
      </w:r>
      <w:r>
        <w:rPr>
          <w:rFonts w:hint="eastAsia"/>
        </w:rPr>
        <w:t>对于</w:t>
      </w:r>
      <w:r>
        <w:t>已纳入容器生产许可管理范围的，应通过相应机构认证并取得生产许可证。</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szCs w:val="22"/>
        </w:rPr>
      </w:pPr>
      <w:r>
        <w:rPr>
          <w:rFonts w:hint="eastAsia"/>
          <w:szCs w:val="22"/>
        </w:rPr>
        <w:t>4.2 包装材料要求</w:t>
      </w:r>
    </w:p>
    <w:p>
      <w:r>
        <w:rPr>
          <w:rFonts w:hint="eastAsia" w:ascii="黑体" w:hAnsi="黑体" w:eastAsia="黑体" w:cs="黑体"/>
        </w:rPr>
        <w:t xml:space="preserve">4.2.1 </w:t>
      </w:r>
      <w:r>
        <w:rPr>
          <w:rFonts w:hint="eastAsia" w:ascii="黑体" w:hAnsi="黑体" w:eastAsia="黑体" w:cs="黑体"/>
          <w:lang w:val="en-US" w:eastAsia="zh-CN"/>
        </w:rPr>
        <w:t xml:space="preserve"> </w:t>
      </w:r>
      <w:r>
        <w:rPr>
          <w:rFonts w:hint="eastAsia"/>
        </w:rPr>
        <w:t>应</w:t>
      </w:r>
      <w:r>
        <w:t>按包装技术要求，合理选择安全、卫生、环保的</w:t>
      </w:r>
      <w:r>
        <w:rPr>
          <w:rFonts w:hint="eastAsia"/>
        </w:rPr>
        <w:t>包装</w:t>
      </w:r>
      <w:r>
        <w:t>材料。</w:t>
      </w:r>
    </w:p>
    <w:p>
      <w:r>
        <w:rPr>
          <w:rFonts w:hint="eastAsia" w:ascii="黑体" w:hAnsi="黑体" w:eastAsia="黑体" w:cs="黑体"/>
        </w:rPr>
        <w:t xml:space="preserve">4.2.2 </w:t>
      </w:r>
      <w:r>
        <w:rPr>
          <w:rFonts w:hint="eastAsia" w:ascii="黑体" w:hAnsi="黑体" w:eastAsia="黑体" w:cs="黑体"/>
          <w:lang w:val="en-US" w:eastAsia="zh-CN"/>
        </w:rPr>
        <w:t xml:space="preserve"> </w:t>
      </w:r>
      <w:r>
        <w:rPr>
          <w:rFonts w:hint="eastAsia"/>
        </w:rPr>
        <w:t>包装</w:t>
      </w:r>
      <w:r>
        <w:t>材料不应与内装物发生任何物理和化学作用</w:t>
      </w:r>
      <w:r>
        <w:rPr>
          <w:rFonts w:hint="eastAsia"/>
        </w:rPr>
        <w:t>而</w:t>
      </w:r>
      <w:r>
        <w:t>损坏内装物。</w:t>
      </w:r>
    </w:p>
    <w:p>
      <w:r>
        <w:rPr>
          <w:rFonts w:hint="eastAsia" w:ascii="黑体" w:hAnsi="黑体" w:eastAsia="黑体" w:cs="黑体"/>
        </w:rPr>
        <w:t>4.2.3</w:t>
      </w:r>
      <w:r>
        <w:t xml:space="preserve"> </w:t>
      </w:r>
      <w:r>
        <w:rPr>
          <w:rFonts w:hint="eastAsia"/>
          <w:lang w:val="en-US" w:eastAsia="zh-CN"/>
        </w:rPr>
        <w:t xml:space="preserve"> </w:t>
      </w:r>
      <w:r>
        <w:rPr>
          <w:rFonts w:hint="eastAsia"/>
        </w:rPr>
        <w:t>与</w:t>
      </w:r>
      <w:r>
        <w:t>内装物直接接触的包装容器和材料应符合相应材质卫生标准及产品标准的要求。</w:t>
      </w:r>
    </w:p>
    <w:p>
      <w:r>
        <w:rPr>
          <w:rFonts w:hint="eastAsia" w:ascii="黑体" w:hAnsi="黑体" w:eastAsia="黑体" w:cs="黑体"/>
        </w:rPr>
        <w:t>4.2.4</w:t>
      </w:r>
      <w:r>
        <w:t xml:space="preserve"> </w:t>
      </w:r>
      <w:r>
        <w:rPr>
          <w:rFonts w:hint="eastAsia"/>
          <w:lang w:val="en-US" w:eastAsia="zh-CN"/>
        </w:rPr>
        <w:t xml:space="preserve"> </w:t>
      </w:r>
      <w:r>
        <w:rPr>
          <w:rFonts w:hint="eastAsia"/>
        </w:rPr>
        <w:t>辅助</w:t>
      </w:r>
      <w:r>
        <w:t>包装材料应符</w:t>
      </w:r>
      <w:r>
        <w:rPr>
          <w:rFonts w:hint="eastAsia" w:ascii="宋体" w:hAnsi="宋体" w:cs="宋体"/>
          <w:sz w:val="21"/>
          <w:szCs w:val="21"/>
          <w:lang w:eastAsia="zh-CN"/>
        </w:rPr>
        <w:t>合GB 9685的</w:t>
      </w:r>
      <w:r>
        <w:t>要求，内壁涂料应符合</w:t>
      </w:r>
      <w:r>
        <w:rPr>
          <w:rFonts w:hint="eastAsia" w:ascii="宋体" w:hAnsi="宋体" w:cs="宋体"/>
          <w:sz w:val="21"/>
          <w:szCs w:val="21"/>
          <w:lang w:eastAsia="zh-CN"/>
        </w:rPr>
        <w:t>GB 9686的</w:t>
      </w:r>
      <w:r>
        <w:t>要求。</w:t>
      </w:r>
    </w:p>
    <w:p>
      <w:pPr>
        <w:rPr>
          <w:rFonts w:hint="eastAsia"/>
        </w:rPr>
      </w:pPr>
      <w:r>
        <w:rPr>
          <w:rFonts w:hint="eastAsia" w:ascii="黑体" w:hAnsi="黑体" w:eastAsia="黑体" w:cs="黑体"/>
        </w:rPr>
        <w:t xml:space="preserve">4.2.5 </w:t>
      </w:r>
      <w:r>
        <w:rPr>
          <w:rFonts w:hint="eastAsia" w:ascii="黑体" w:hAnsi="黑体" w:eastAsia="黑体" w:cs="黑体"/>
          <w:lang w:val="en-US" w:eastAsia="zh-CN"/>
        </w:rPr>
        <w:t xml:space="preserve"> </w:t>
      </w:r>
      <w:r>
        <w:rPr>
          <w:rFonts w:hint="eastAsia"/>
        </w:rPr>
        <w:t>采用</w:t>
      </w:r>
      <w:r>
        <w:t>气调、真空等包装技术的，气密性应符合相关标准的要求。</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szCs w:val="22"/>
        </w:rPr>
      </w:pPr>
      <w:r>
        <w:rPr>
          <w:rFonts w:hint="eastAsia"/>
          <w:szCs w:val="22"/>
        </w:rPr>
        <w:t>4.</w:t>
      </w:r>
      <w:r>
        <w:rPr>
          <w:rFonts w:hint="default"/>
          <w:szCs w:val="22"/>
        </w:rPr>
        <w:t>3</w:t>
      </w:r>
      <w:r>
        <w:rPr>
          <w:rFonts w:hint="eastAsia"/>
          <w:szCs w:val="22"/>
        </w:rPr>
        <w:t xml:space="preserve"> 包装</w:t>
      </w:r>
      <w:r>
        <w:rPr>
          <w:rFonts w:hint="default"/>
          <w:szCs w:val="22"/>
        </w:rPr>
        <w:t>容器</w:t>
      </w:r>
      <w:r>
        <w:rPr>
          <w:rFonts w:hint="eastAsia"/>
          <w:szCs w:val="22"/>
        </w:rPr>
        <w:t>要求</w:t>
      </w:r>
    </w:p>
    <w:p>
      <w:r>
        <w:rPr>
          <w:rFonts w:hint="eastAsia" w:ascii="黑体" w:hAnsi="黑体" w:eastAsia="黑体" w:cs="黑体"/>
        </w:rPr>
        <w:t>4.3.1</w:t>
      </w:r>
      <w:r>
        <w:rPr>
          <w:rFonts w:hint="eastAsia"/>
        </w:rPr>
        <w:t xml:space="preserve"> </w:t>
      </w:r>
      <w:r>
        <w:rPr>
          <w:rFonts w:hint="eastAsia"/>
          <w:lang w:val="en-US" w:eastAsia="zh-CN"/>
        </w:rPr>
        <w:t xml:space="preserve"> </w:t>
      </w:r>
      <w:r>
        <w:rPr>
          <w:rFonts w:hint="eastAsia"/>
        </w:rPr>
        <w:t>各种包装</w:t>
      </w:r>
      <w:r>
        <w:t>容器应符合相应的产品标准，并符</w:t>
      </w:r>
      <w:r>
        <w:rPr>
          <w:rFonts w:hint="eastAsia" w:ascii="宋体" w:hAnsi="宋体" w:cs="宋体"/>
          <w:sz w:val="21"/>
          <w:szCs w:val="21"/>
          <w:lang w:eastAsia="zh-CN"/>
        </w:rPr>
        <w:t>合4.3.2～4.3.5的</w:t>
      </w:r>
      <w:r>
        <w:t>要求。</w:t>
      </w:r>
    </w:p>
    <w:p>
      <w:r>
        <w:rPr>
          <w:rFonts w:hint="eastAsia" w:ascii="黑体" w:hAnsi="黑体" w:eastAsia="黑体" w:cs="黑体"/>
        </w:rPr>
        <w:t>4.3.2</w:t>
      </w:r>
      <w:r>
        <w:rPr>
          <w:rFonts w:hint="eastAsia" w:ascii="黑体" w:hAnsi="黑体" w:eastAsia="黑体" w:cs="黑体"/>
          <w:lang w:val="en-US" w:eastAsia="zh-CN"/>
        </w:rPr>
        <w:t xml:space="preserve">  </w:t>
      </w:r>
      <w:r>
        <w:rPr>
          <w:rFonts w:hint="eastAsia"/>
        </w:rPr>
        <w:t>包装</w:t>
      </w:r>
      <w:r>
        <w:t>产品</w:t>
      </w:r>
      <w:r>
        <w:rPr>
          <w:rFonts w:hint="eastAsia"/>
        </w:rPr>
        <w:t>规格</w:t>
      </w:r>
      <w:r>
        <w:t>尺寸的设计应给封口、气调或采用真空包装留有足够余量，规格尺寸应参照有关尺寸标准规定，</w:t>
      </w:r>
      <w:r>
        <w:rPr>
          <w:rFonts w:hint="eastAsia"/>
        </w:rPr>
        <w:t>并</w:t>
      </w:r>
      <w:r>
        <w:t>与运输包装尺寸相匹配。</w:t>
      </w:r>
    </w:p>
    <w:p>
      <w:r>
        <w:rPr>
          <w:rFonts w:hint="eastAsia" w:ascii="黑体" w:hAnsi="黑体" w:eastAsia="黑体" w:cs="黑体"/>
        </w:rPr>
        <w:t>4.3.3</w:t>
      </w:r>
      <w:r>
        <w:t xml:space="preserve"> </w:t>
      </w:r>
      <w:r>
        <w:rPr>
          <w:rFonts w:hint="eastAsia"/>
          <w:lang w:val="en-US" w:eastAsia="zh-CN"/>
        </w:rPr>
        <w:t xml:space="preserve"> </w:t>
      </w:r>
      <w:r>
        <w:rPr>
          <w:rFonts w:hint="eastAsia"/>
        </w:rPr>
        <w:t>包装</w:t>
      </w:r>
      <w:r>
        <w:t>规格系列应符合表</w:t>
      </w:r>
      <w:r>
        <w:rPr>
          <w:rFonts w:hint="eastAsia"/>
        </w:rPr>
        <w:t>1规定</w:t>
      </w:r>
      <w:r>
        <w:t>。</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黑体" w:hAnsi="黑体" w:eastAsia="黑体"/>
        </w:rPr>
      </w:pPr>
      <w:r>
        <w:rPr>
          <w:rFonts w:hint="eastAsia" w:ascii="黑体" w:hAnsi="黑体" w:eastAsia="黑体"/>
        </w:rPr>
        <w:t>表1 粮食</w:t>
      </w:r>
      <w:r>
        <w:rPr>
          <w:rFonts w:ascii="黑体" w:hAnsi="黑体" w:eastAsia="黑体"/>
        </w:rPr>
        <w:t>包装规格系列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noWrap w:val="0"/>
            <w:vAlign w:val="top"/>
          </w:tcPr>
          <w:p>
            <w:pPr>
              <w:jc w:val="center"/>
              <w:rPr>
                <w:rFonts w:hint="eastAsia" w:ascii="宋体" w:hAnsi="宋体" w:eastAsia="宋体" w:cs="宋体"/>
                <w:sz w:val="18"/>
                <w:szCs w:val="18"/>
              </w:rPr>
            </w:pPr>
            <w:r>
              <w:rPr>
                <w:rFonts w:hint="eastAsia" w:ascii="宋体" w:hAnsi="宋体" w:eastAsia="宋体" w:cs="宋体"/>
                <w:sz w:val="18"/>
                <w:szCs w:val="18"/>
              </w:rPr>
              <w:t>品名</w:t>
            </w:r>
          </w:p>
        </w:tc>
        <w:tc>
          <w:tcPr>
            <w:tcW w:w="4261" w:type="dxa"/>
            <w:shd w:val="clear" w:color="auto" w:fill="auto"/>
            <w:noWrap w:val="0"/>
            <w:vAlign w:val="top"/>
          </w:tcPr>
          <w:p>
            <w:pPr>
              <w:jc w:val="center"/>
              <w:rPr>
                <w:rFonts w:hint="eastAsia" w:ascii="宋体" w:hAnsi="宋体" w:eastAsia="宋体" w:cs="宋体"/>
                <w:sz w:val="18"/>
                <w:szCs w:val="18"/>
              </w:rPr>
            </w:pPr>
            <w:r>
              <w:rPr>
                <w:rFonts w:hint="eastAsia" w:ascii="宋体" w:hAnsi="宋体" w:eastAsia="宋体" w:cs="宋体"/>
                <w:sz w:val="18"/>
                <w:szCs w:val="18"/>
              </w:rPr>
              <w:t>规格系列/kg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noWrap w:val="0"/>
            <w:vAlign w:val="top"/>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大麦</w:t>
            </w:r>
          </w:p>
        </w:tc>
        <w:tc>
          <w:tcPr>
            <w:tcW w:w="4261" w:type="dxa"/>
            <w:shd w:val="clear" w:color="auto" w:fill="auto"/>
            <w:noWrap w:val="0"/>
            <w:vAlign w:val="top"/>
          </w:tcPr>
          <w:p>
            <w:pPr>
              <w:jc w:val="center"/>
              <w:rPr>
                <w:rFonts w:hint="eastAsia" w:ascii="宋体" w:hAnsi="宋体" w:eastAsia="宋体" w:cs="宋体"/>
                <w:sz w:val="18"/>
                <w:szCs w:val="18"/>
              </w:rPr>
            </w:pPr>
            <w:r>
              <w:rPr>
                <w:rFonts w:hint="eastAsia" w:ascii="宋体" w:hAnsi="宋体" w:eastAsia="宋体" w:cs="宋体"/>
                <w:sz w:val="18"/>
                <w:szCs w:val="18"/>
              </w:rPr>
              <w:t>1，2，2.5，5，10，15，20，25，50</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4.3.4 </w:t>
      </w:r>
      <w:r>
        <w:rPr>
          <w:rFonts w:hint="eastAsia"/>
          <w:lang w:val="en-US" w:eastAsia="zh-CN"/>
        </w:rPr>
        <w:t xml:space="preserve"> </w:t>
      </w:r>
      <w:r>
        <w:rPr>
          <w:rFonts w:hint="eastAsia"/>
        </w:rPr>
        <w:t>包装</w:t>
      </w:r>
      <w:r>
        <w:t>容器的强度应</w:t>
      </w:r>
      <w:r>
        <w:rPr>
          <w:rFonts w:hint="eastAsia" w:ascii="宋体" w:hAnsi="宋体" w:cs="宋体"/>
          <w:sz w:val="21"/>
          <w:szCs w:val="21"/>
          <w:lang w:eastAsia="zh-CN"/>
        </w:rPr>
        <w:t>符合GB/T 4857.5的</w:t>
      </w:r>
      <w:r>
        <w:t>要求。</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4.3.5 </w:t>
      </w:r>
      <w:r>
        <w:rPr>
          <w:rFonts w:hint="eastAsia"/>
          <w:lang w:val="en-US" w:eastAsia="zh-CN"/>
        </w:rPr>
        <w:t xml:space="preserve"> </w:t>
      </w:r>
      <w:r>
        <w:rPr>
          <w:rFonts w:hint="eastAsia"/>
        </w:rPr>
        <w:t>复合</w:t>
      </w:r>
      <w:r>
        <w:t>包装袋应符</w:t>
      </w:r>
      <w:r>
        <w:rPr>
          <w:rFonts w:hint="eastAsia" w:ascii="宋体" w:hAnsi="宋体" w:cs="宋体"/>
          <w:sz w:val="18"/>
          <w:szCs w:val="18"/>
          <w:lang w:eastAsia="zh-CN"/>
        </w:rPr>
        <w:t>合</w:t>
      </w:r>
      <w:r>
        <w:rPr>
          <w:rFonts w:hint="eastAsia" w:ascii="宋体" w:hAnsi="宋体" w:cs="宋体"/>
          <w:sz w:val="21"/>
          <w:szCs w:val="21"/>
          <w:lang w:eastAsia="zh-CN"/>
        </w:rPr>
        <w:t>GB 9683</w:t>
      </w:r>
      <w:r>
        <w:rPr>
          <w:rFonts w:hint="eastAsia"/>
        </w:rPr>
        <w:t>的</w:t>
      </w:r>
      <w:r>
        <w:t>要求。</w:t>
      </w:r>
    </w:p>
    <w:p>
      <w:pPr>
        <w:pStyle w:val="27"/>
        <w:numPr>
          <w:ilvl w:val="0"/>
          <w:numId w:val="0"/>
        </w:numPr>
        <w:ind w:leftChars="0"/>
        <w:rPr>
          <w:rFonts w:hint="eastAsia"/>
          <w:szCs w:val="22"/>
        </w:rPr>
      </w:pPr>
      <w:r>
        <w:rPr>
          <w:rFonts w:hint="eastAsia"/>
          <w:szCs w:val="22"/>
        </w:rPr>
        <w:t>5</w:t>
      </w:r>
      <w:r>
        <w:rPr>
          <w:rFonts w:hint="default"/>
          <w:szCs w:val="22"/>
        </w:rPr>
        <w:t xml:space="preserve"> </w:t>
      </w:r>
      <w:r>
        <w:rPr>
          <w:rFonts w:hint="eastAsia"/>
          <w:szCs w:val="22"/>
          <w:lang w:val="en-US" w:eastAsia="zh-CN"/>
        </w:rPr>
        <w:t xml:space="preserve"> </w:t>
      </w:r>
      <w:r>
        <w:rPr>
          <w:rFonts w:hint="eastAsia"/>
          <w:szCs w:val="22"/>
        </w:rPr>
        <w:t>标签标识</w:t>
      </w:r>
    </w:p>
    <w:p>
      <w:pPr>
        <w:pStyle w:val="28"/>
        <w:numPr>
          <w:ilvl w:val="2"/>
          <w:numId w:val="0"/>
        </w:numPr>
        <w:ind w:leftChars="0"/>
      </w:pPr>
      <w:r>
        <w:rPr>
          <w:rFonts w:hint="eastAsia" w:ascii="黑体" w:hAnsi="黑体" w:eastAsia="黑体" w:cs="黑体"/>
          <w:lang w:val="en-US" w:eastAsia="zh-CN"/>
        </w:rPr>
        <w:t xml:space="preserve">5.1 </w:t>
      </w:r>
      <w:r>
        <w:rPr>
          <w:rFonts w:hint="eastAsia"/>
          <w:lang w:val="en-US" w:eastAsia="zh-CN"/>
        </w:rPr>
        <w:t xml:space="preserve"> </w:t>
      </w:r>
      <w:r>
        <w:rPr>
          <w:rFonts w:hint="eastAsia"/>
        </w:rPr>
        <w:t>商品标识应符合GB/T 191的相关规定。</w:t>
      </w:r>
    </w:p>
    <w:p>
      <w:pPr>
        <w:pStyle w:val="28"/>
        <w:numPr>
          <w:ilvl w:val="2"/>
          <w:numId w:val="0"/>
        </w:numPr>
        <w:ind w:leftChars="0"/>
        <w:rPr>
          <w:rFonts w:hint="eastAsia"/>
        </w:rPr>
      </w:pPr>
      <w:r>
        <w:rPr>
          <w:rFonts w:hint="eastAsia" w:ascii="黑体" w:hAnsi="黑体" w:eastAsia="黑体" w:cs="黑体"/>
          <w:lang w:val="en-US" w:eastAsia="zh-CN"/>
        </w:rPr>
        <w:t>5.2</w:t>
      </w:r>
      <w:r>
        <w:rPr>
          <w:rFonts w:hint="eastAsia"/>
          <w:lang w:val="en-US" w:eastAsia="zh-CN"/>
        </w:rPr>
        <w:t xml:space="preserve">  </w:t>
      </w:r>
      <w:r>
        <w:rPr>
          <w:rFonts w:hint="eastAsia"/>
        </w:rPr>
        <w:t>标识的</w:t>
      </w:r>
      <w:r>
        <w:t>内容准确、清晰、显著，所有文字使用规范的中文；任何标签或标识中的说明或</w:t>
      </w:r>
      <w:r>
        <w:rPr>
          <w:rFonts w:hint="eastAsia"/>
        </w:rPr>
        <w:t>表述</w:t>
      </w:r>
      <w:r>
        <w:t>方式</w:t>
      </w:r>
      <w:r>
        <w:rPr>
          <w:rFonts w:hint="eastAsia"/>
        </w:rPr>
        <w:t>均</w:t>
      </w:r>
      <w:r>
        <w:t>不应有虚假、误导</w:t>
      </w:r>
      <w:r>
        <w:rPr>
          <w:rFonts w:hint="eastAsia"/>
        </w:rPr>
        <w:t>或</w:t>
      </w:r>
      <w:r>
        <w:t>欺骗，或可能对其任何方面的</w:t>
      </w:r>
      <w:r>
        <w:rPr>
          <w:rFonts w:hint="eastAsia"/>
        </w:rPr>
        <w:t>特性</w:t>
      </w:r>
      <w:r>
        <w:t>造成错误印象；任何标签或标识中的文字、图示或其他方式的说明或表述不</w:t>
      </w:r>
      <w:r>
        <w:rPr>
          <w:rFonts w:hint="eastAsia"/>
        </w:rPr>
        <w:t>应</w:t>
      </w:r>
      <w:r>
        <w:t>直接或间接提及或暗示任何可能与该产品造成混淆的其他产品</w:t>
      </w:r>
      <w:r>
        <w:rPr>
          <w:rFonts w:hint="eastAsia"/>
        </w:rPr>
        <w:t>。</w:t>
      </w:r>
    </w:p>
    <w:p>
      <w:pPr>
        <w:pStyle w:val="28"/>
        <w:numPr>
          <w:ilvl w:val="2"/>
          <w:numId w:val="0"/>
        </w:numPr>
        <w:ind w:leftChars="0"/>
      </w:pPr>
      <w:r>
        <w:rPr>
          <w:rFonts w:hint="eastAsia" w:ascii="黑体" w:hAnsi="黑体" w:eastAsia="黑体" w:cs="黑体"/>
          <w:lang w:val="en-US" w:eastAsia="zh-CN"/>
        </w:rPr>
        <w:t xml:space="preserve">5.3  </w:t>
      </w:r>
      <w:r>
        <w:rPr>
          <w:rFonts w:hint="eastAsia"/>
          <w:lang w:val="en-US" w:eastAsia="zh-CN"/>
        </w:rPr>
        <w:t>标</w:t>
      </w:r>
      <w:r>
        <w:rPr>
          <w:rFonts w:hint="eastAsia"/>
        </w:rPr>
        <w:t>识内容应包括下列信息：</w:t>
      </w:r>
    </w:p>
    <w:p>
      <w:pPr>
        <w:pStyle w:val="28"/>
        <w:numPr>
          <w:ilvl w:val="0"/>
          <w:numId w:val="0"/>
        </w:numPr>
        <w:ind w:firstLine="420" w:firstLineChars="200"/>
      </w:pPr>
      <w:r>
        <w:rPr>
          <w:rFonts w:hint="eastAsia" w:ascii="黑体" w:hAnsi="黑体" w:eastAsia="黑体" w:cs="黑体"/>
        </w:rPr>
        <w:t>——</w:t>
      </w:r>
      <w:r>
        <w:rPr>
          <w:rFonts w:hint="eastAsia"/>
        </w:rPr>
        <w:t>生产者：依法登记注册的名称和地址（如果有）。</w:t>
      </w:r>
    </w:p>
    <w:p>
      <w:pPr>
        <w:pStyle w:val="28"/>
        <w:numPr>
          <w:ilvl w:val="0"/>
          <w:numId w:val="0"/>
        </w:numPr>
        <w:ind w:firstLine="420" w:firstLineChars="200"/>
        <w:rPr>
          <w:rFonts w:hint="eastAsia"/>
        </w:rPr>
      </w:pPr>
      <w:r>
        <w:rPr>
          <w:rFonts w:hint="eastAsia" w:ascii="黑体" w:hAnsi="黑体" w:eastAsia="黑体" w:cs="黑体"/>
        </w:rPr>
        <w:t>——</w:t>
      </w:r>
      <w:r>
        <w:rPr>
          <w:rFonts w:hint="eastAsia"/>
        </w:rPr>
        <w:t>产地：</w:t>
      </w:r>
      <w:r>
        <w:rPr>
          <w:rFonts w:hint="eastAsia"/>
          <w:lang w:eastAsia="zh-CN"/>
        </w:rPr>
        <w:t>大麦</w:t>
      </w:r>
      <w:r>
        <w:rPr>
          <w:rFonts w:hint="eastAsia"/>
        </w:rPr>
        <w:t>种植地的名称。</w:t>
      </w:r>
    </w:p>
    <w:p>
      <w:pPr>
        <w:pStyle w:val="28"/>
        <w:numPr>
          <w:ilvl w:val="0"/>
          <w:numId w:val="0"/>
        </w:numPr>
        <w:ind w:firstLine="420" w:firstLineChars="200"/>
        <w:rPr>
          <w:rFonts w:hint="eastAsia"/>
        </w:rPr>
      </w:pPr>
      <w:r>
        <w:rPr>
          <w:rFonts w:hint="eastAsia" w:ascii="黑体" w:hAnsi="黑体" w:eastAsia="黑体" w:cs="黑体"/>
        </w:rPr>
        <w:t>——</w:t>
      </w:r>
      <w:r>
        <w:rPr>
          <w:rFonts w:hint="eastAsia"/>
        </w:rPr>
        <w:t>产品特征：产品名称和品种名称</w:t>
      </w:r>
      <w:r>
        <w:t>。</w:t>
      </w:r>
    </w:p>
    <w:p>
      <w:pPr>
        <w:pStyle w:val="28"/>
        <w:numPr>
          <w:ilvl w:val="0"/>
          <w:numId w:val="0"/>
        </w:numPr>
        <w:ind w:firstLine="420" w:firstLineChars="200"/>
        <w:rPr>
          <w:rFonts w:hint="eastAsia"/>
        </w:rPr>
      </w:pPr>
      <w:r>
        <w:rPr>
          <w:rFonts w:hint="eastAsia" w:ascii="黑体" w:hAnsi="黑体" w:eastAsia="黑体" w:cs="黑体"/>
        </w:rPr>
        <w:t>——</w:t>
      </w:r>
      <w:r>
        <w:rPr>
          <w:rFonts w:hint="eastAsia"/>
        </w:rPr>
        <w:t>商品规格：净重（对于定量包装）、所执行的标准、等级等。</w:t>
      </w:r>
    </w:p>
    <w:p>
      <w:pPr>
        <w:pStyle w:val="28"/>
        <w:numPr>
          <w:ilvl w:val="0"/>
          <w:numId w:val="0"/>
        </w:numPr>
        <w:ind w:firstLine="420" w:firstLineChars="200"/>
        <w:rPr>
          <w:rFonts w:hint="eastAsia"/>
        </w:rPr>
      </w:pPr>
      <w:r>
        <w:rPr>
          <w:rFonts w:hint="eastAsia" w:ascii="黑体" w:hAnsi="黑体" w:eastAsia="黑体" w:cs="黑体"/>
        </w:rPr>
        <w:t>——</w:t>
      </w:r>
      <w:r>
        <w:rPr>
          <w:rFonts w:hint="eastAsia"/>
        </w:rPr>
        <w:t>生产日期</w:t>
      </w:r>
      <w:r>
        <w:t>：</w:t>
      </w:r>
      <w:r>
        <w:rPr>
          <w:rFonts w:hint="eastAsia"/>
        </w:rPr>
        <w:t>生产</w:t>
      </w:r>
      <w:r>
        <w:t>日期按年、月、日顺序标注</w:t>
      </w:r>
      <w:r>
        <w:rPr>
          <w:rFonts w:hint="eastAsia"/>
        </w:rPr>
        <w:t>。</w:t>
      </w:r>
    </w:p>
    <w:p>
      <w:pPr>
        <w:pStyle w:val="28"/>
        <w:numPr>
          <w:ilvl w:val="0"/>
          <w:numId w:val="0"/>
        </w:numPr>
        <w:ind w:firstLine="420" w:firstLineChars="200"/>
        <w:rPr>
          <w:rFonts w:hint="eastAsia"/>
        </w:rPr>
      </w:pPr>
      <w:r>
        <w:rPr>
          <w:rFonts w:hint="eastAsia" w:ascii="黑体" w:hAnsi="黑体" w:eastAsia="黑体" w:cs="黑体"/>
        </w:rPr>
        <w:t>——</w:t>
      </w:r>
      <w:r>
        <w:rPr>
          <w:rFonts w:hint="eastAsia"/>
        </w:rPr>
        <w:t>注册商标（如果有）。</w:t>
      </w:r>
    </w:p>
    <w:p>
      <w:pPr>
        <w:tabs>
          <w:tab w:val="left" w:pos="1380"/>
        </w:tabs>
        <w:bidi w:val="0"/>
        <w:jc w:val="left"/>
        <w:rPr>
          <w:lang w:val="en-US" w:eastAsia="zh-CN"/>
        </w:rPr>
      </w:pPr>
    </w:p>
    <w:p>
      <w:pPr>
        <w:tabs>
          <w:tab w:val="left" w:pos="1380"/>
        </w:tabs>
        <w:bidi w:val="0"/>
        <w:jc w:val="left"/>
        <w:rPr>
          <w:lang w:val="en-US" w:eastAsia="zh-CN"/>
        </w:rPr>
      </w:pPr>
    </w:p>
    <w:p>
      <w:pPr>
        <w:pStyle w:val="31"/>
        <w:rPr>
          <w:rFonts w:hint="eastAsia"/>
        </w:rPr>
      </w:pPr>
      <w:r>
        <w:t>_________________________________</w:t>
      </w:r>
    </w:p>
    <w:p>
      <w:pPr>
        <w:tabs>
          <w:tab w:val="left" w:pos="1380"/>
        </w:tabs>
        <w:bidi w:val="0"/>
        <w:jc w:val="left"/>
        <w:rPr>
          <w:lang w:val="en-US" w:eastAsia="zh-CN"/>
        </w:rPr>
      </w:pPr>
    </w:p>
    <w:p>
      <w:pPr>
        <w:tabs>
          <w:tab w:val="left" w:pos="1380"/>
        </w:tabs>
        <w:bidi w:val="0"/>
        <w:jc w:val="left"/>
        <w:rPr>
          <w:lang w:val="en-US" w:eastAsia="zh-CN"/>
        </w:rPr>
      </w:pPr>
    </w:p>
    <w:p/>
    <w:p>
      <w:bookmarkStart w:id="20" w:name="_GoBack"/>
      <w:bookmarkEnd w:id="20"/>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t>Q/YTZ 0</w:t>
    </w:r>
    <w:r>
      <w:rPr>
        <w:rFonts w:hint="eastAsia"/>
        <w:lang w:val="en-US" w:eastAsia="zh-CN"/>
      </w:rPr>
      <w:t>25</w:t>
    </w:r>
    <w:r>
      <w:t>.6—202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24CC836"/>
    <w:multiLevelType w:val="multilevel"/>
    <w:tmpl w:val="424CC836"/>
    <w:lvl w:ilvl="0" w:tentative="0">
      <w:start w:val="1"/>
      <w:numFmt w:val="decimal"/>
      <w:suff w:val="nothing"/>
      <w:lvlText w:val="%1　"/>
      <w:lvlJc w:val="left"/>
      <w:pPr>
        <w:ind w:left="0" w:firstLine="0"/>
      </w:pPr>
      <w:rPr>
        <w:rFonts w:hint="eastAsia" w:ascii="黑体" w:hAnsi="Times New Roman" w:eastAsia="黑体" w:cs="黑体"/>
        <w:b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9"/>
      <w:suff w:val="nothing"/>
      <w:lvlText w:val="%1.%2.%3　"/>
      <w:lvlJc w:val="left"/>
      <w:pPr>
        <w:ind w:left="0" w:firstLine="0"/>
      </w:pPr>
      <w:rPr>
        <w:rFonts w:hint="eastAsia" w:ascii="黑体" w:hAnsi="Times New Roman" w:eastAsia="黑体" w:cs="黑体"/>
        <w:b w:val="0"/>
        <w:sz w:val="21"/>
      </w:rPr>
    </w:lvl>
    <w:lvl w:ilvl="3" w:tentative="0">
      <w:start w:val="1"/>
      <w:numFmt w:val="decimal"/>
      <w:suff w:val="nothing"/>
      <w:lvlText w:val="%1.%2.%3.%4　"/>
      <w:lvlJc w:val="left"/>
      <w:pPr>
        <w:ind w:left="0" w:firstLine="0"/>
      </w:pPr>
      <w:rPr>
        <w:rFonts w:hint="eastAsia" w:ascii="黑体" w:hAnsi="Times New Roman" w:eastAsia="黑体" w:cs="黑体"/>
        <w:b w:val="0"/>
        <w:sz w:val="21"/>
      </w:rPr>
    </w:lvl>
    <w:lvl w:ilvl="4" w:tentative="0">
      <w:start w:val="1"/>
      <w:numFmt w:val="decimal"/>
      <w:suff w:val="nothing"/>
      <w:lvlText w:val="%1.%2.%3.%4.%5　"/>
      <w:lvlJc w:val="left"/>
      <w:pPr>
        <w:ind w:left="0" w:firstLine="0"/>
      </w:pPr>
      <w:rPr>
        <w:rFonts w:hint="eastAsia" w:ascii="黑体" w:hAnsi="Times New Roman" w:eastAsia="黑体" w:cs="黑体"/>
        <w:b w:val="0"/>
        <w:sz w:val="21"/>
      </w:rPr>
    </w:lvl>
    <w:lvl w:ilvl="5" w:tentative="0">
      <w:start w:val="1"/>
      <w:numFmt w:val="decimal"/>
      <w:suff w:val="nothing"/>
      <w:lvlText w:val="%1.%2.%3.%4.%5.%6　"/>
      <w:lvlJc w:val="left"/>
      <w:pPr>
        <w:ind w:left="0" w:firstLine="0"/>
      </w:pPr>
      <w:rPr>
        <w:rFonts w:hint="eastAsia" w:ascii="黑体" w:hAnsi="Times New Roman" w:eastAsia="黑体" w:cs="黑体"/>
        <w:b w:val="0"/>
        <w:sz w:val="21"/>
      </w:rPr>
    </w:lvl>
    <w:lvl w:ilvl="6" w:tentative="0">
      <w:start w:val="1"/>
      <w:numFmt w:val="decimal"/>
      <w:suff w:val="nothing"/>
      <w:lvlText w:val="%1%2.%3.%4.%5.%6.%7　"/>
      <w:lvlJc w:val="left"/>
      <w:pPr>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558D2"/>
    <w:rsid w:val="6825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snapToGrid w:val="0"/>
      <w:jc w:val="left"/>
    </w:pPr>
    <w:rPr>
      <w:sz w:val="18"/>
      <w:szCs w:val="18"/>
    </w:rPr>
  </w:style>
  <w:style w:type="paragraph" w:customStyle="1" w:styleId="6">
    <w:name w:val="其他标准标志"/>
    <w:basedOn w:val="7"/>
    <w:qFormat/>
    <w:uiPriority w:val="0"/>
    <w:pPr>
      <w:framePr w:w="6101" w:vAnchor="page" w:hAnchor="page" w:x="4673" w:y="942"/>
    </w:pPr>
    <w:rPr>
      <w:w w:val="130"/>
    </w:rPr>
  </w:style>
  <w:style w:type="paragraph" w:customStyle="1" w:styleId="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
    <w:name w:val="封面标准英文名称"/>
    <w:basedOn w:val="11"/>
    <w:qFormat/>
    <w:uiPriority w:val="0"/>
    <w:pPr>
      <w:spacing w:before="370" w:line="400" w:lineRule="exact"/>
    </w:pPr>
    <w:rPr>
      <w:rFonts w:ascii="Times New Roman"/>
      <w:sz w:val="28"/>
      <w:szCs w:val="28"/>
    </w:rPr>
  </w:style>
  <w:style w:type="paragraph" w:customStyle="1" w:styleId="13">
    <w:name w:val="封面一致性程度标识"/>
    <w:basedOn w:val="12"/>
    <w:qFormat/>
    <w:uiPriority w:val="0"/>
    <w:pPr>
      <w:spacing w:before="440"/>
    </w:pPr>
    <w:rPr>
      <w:rFonts w:ascii="宋体" w:eastAsia="宋体"/>
    </w:rPr>
  </w:style>
  <w:style w:type="paragraph" w:customStyle="1" w:styleId="14">
    <w:name w:val="其他发布日期"/>
    <w:basedOn w:val="15"/>
    <w:qFormat/>
    <w:uiPriority w:val="0"/>
    <w:pPr>
      <w:framePr w:vAnchor="page" w:hAnchor="page" w:x="1419"/>
    </w:pPr>
  </w:style>
  <w:style w:type="paragraph" w:customStyle="1" w:styleId="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style>
  <w:style w:type="paragraph" w:customStyle="1" w:styleId="17">
    <w:name w:val="实施日期"/>
    <w:basedOn w:val="15"/>
    <w:qFormat/>
    <w:uiPriority w:val="0"/>
    <w:pPr>
      <w:framePr w:vAnchor="page" w:hAnchor="page"/>
      <w:jc w:val="right"/>
    </w:pPr>
  </w:style>
  <w:style w:type="paragraph" w:customStyle="1" w:styleId="18">
    <w:name w:val="其他发布部门"/>
    <w:basedOn w:val="19"/>
    <w:qFormat/>
    <w:uiPriority w:val="0"/>
    <w:pPr>
      <w:framePr w:y="15310"/>
      <w:spacing w:line="0" w:lineRule="atLeast"/>
    </w:pPr>
    <w:rPr>
      <w:rFonts w:ascii="黑体" w:eastAsia="黑体"/>
      <w:b w:val="0"/>
    </w:rPr>
  </w:style>
  <w:style w:type="paragraph" w:customStyle="1" w:styleId="19">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发布"/>
    <w:qFormat/>
    <w:uiPriority w:val="0"/>
    <w:rPr>
      <w:rFonts w:ascii="黑体" w:eastAsia="黑体"/>
      <w:spacing w:val="85"/>
      <w:w w:val="100"/>
      <w:position w:val="3"/>
      <w:sz w:val="28"/>
      <w:szCs w:val="28"/>
    </w:rPr>
  </w:style>
  <w:style w:type="paragraph" w:customStyle="1" w:styleId="22">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
    <w:name w:val="标准书眉_偶数页"/>
    <w:basedOn w:val="23"/>
    <w:next w:val="1"/>
    <w:qFormat/>
    <w:uiPriority w:val="0"/>
    <w:pPr>
      <w:jc w:val="left"/>
    </w:pPr>
    <w:rPr>
      <w:rFonts w:ascii="黑体" w:eastAsia="黑体"/>
    </w:rPr>
  </w:style>
  <w:style w:type="paragraph" w:customStyle="1" w:styleId="2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6">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8">
    <w:name w:val="二级无"/>
    <w:basedOn w:val="29"/>
    <w:qFormat/>
    <w:uiPriority w:val="0"/>
    <w:pPr>
      <w:spacing w:beforeLines="0" w:afterLines="0"/>
    </w:pPr>
    <w:rPr>
      <w:rFonts w:hint="default" w:ascii="宋体" w:hAnsi="Times New Roman" w:eastAsia="宋体"/>
    </w:rPr>
  </w:style>
  <w:style w:type="paragraph" w:customStyle="1" w:styleId="29">
    <w:name w:val="二级条标题"/>
    <w:basedOn w:val="30"/>
    <w:next w:val="1"/>
    <w:qFormat/>
    <w:uiPriority w:val="0"/>
    <w:pPr>
      <w:numPr>
        <w:ilvl w:val="2"/>
        <w:numId w:val="2"/>
      </w:numPr>
      <w:outlineLvl w:val="3"/>
    </w:pPr>
  </w:style>
  <w:style w:type="paragraph" w:customStyle="1" w:styleId="30">
    <w:name w:val="一级条标题"/>
    <w:basedOn w:val="1"/>
    <w:next w:val="1"/>
    <w:qFormat/>
    <w:uiPriority w:val="0"/>
    <w:pPr>
      <w:widowControl/>
      <w:numPr>
        <w:ilvl w:val="1"/>
        <w:numId w:val="2"/>
      </w:numPr>
      <w:spacing w:beforeLines="50" w:afterLines="50"/>
      <w:jc w:val="left"/>
      <w:outlineLvl w:val="2"/>
    </w:pPr>
    <w:rPr>
      <w:rFonts w:hint="eastAsia" w:ascii="黑体" w:eastAsia="黑体"/>
      <w:kern w:val="0"/>
      <w:szCs w:val="21"/>
    </w:rPr>
  </w:style>
  <w:style w:type="paragraph" w:customStyle="1" w:styleId="31">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2021-12-30T02:17:00Z</dcterms:created>
  <dc:creator>仲夏夜之梦</dc:creator>
  <cp:lastModifiedBy>仲夏夜之梦</cp:lastModifiedBy>
  <dcterms:modified xsi:type="dcterms:W3CDTF">2021-12-30T02:24:26Z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8E15762A729048079B6BB90A810124B2</vt:lpwstr>
  </property>
</Properties>
</file>