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t>Q/</w:t>
      </w:r>
      <w:bookmarkStart w:id="0" w:name="c5"/>
      <w:r>
        <w:fldChar w:fldCharType="begin">
          <w:ffData>
            <w:name w:val="c5"/>
            <w:enabled/>
            <w:calcOnExit w:val="0"/>
            <w:entryMacro w:val="ShowHelp17"/>
            <w:textInput/>
          </w:ffData>
        </w:fldChar>
      </w:r>
      <w:r>
        <w:instrText xml:space="preserve"> FORMTEXT </w:instrText>
      </w:r>
      <w:r>
        <w:fldChar w:fldCharType="separate"/>
      </w:r>
      <w:r>
        <w:rPr>
          <w:rFonts w:hint="eastAsia"/>
        </w:rPr>
        <w:t>YTZ</w:t>
      </w:r>
      <w:r>
        <w:fldChar w:fldCharType="end"/>
      </w:r>
      <w:bookmarkEnd w:id="0"/>
    </w:p>
    <w:p>
      <w:pPr>
        <w:pStyle w:val="10"/>
        <w:framePr w:w="9357"/>
        <w:rPr>
          <w:rFonts w:ascii="Times New Roman" w:hAnsi="Times New Roman"/>
        </w:rPr>
      </w:pPr>
      <w:bookmarkStart w:id="1" w:name="c6"/>
      <w:r>
        <w:fldChar w:fldCharType="begin">
          <w:ffData>
            <w:name w:val="c6"/>
            <w:enabled/>
            <w:calcOnExit w:val="0"/>
            <w:entryMacro w:val="showhelp13"/>
            <w:textInput/>
          </w:ffData>
        </w:fldChar>
      </w:r>
      <w:r>
        <w:instrText xml:space="preserve"> FORMTEXT </w:instrText>
      </w:r>
      <w:r>
        <w:fldChar w:fldCharType="separate"/>
      </w:r>
      <w:r>
        <w:rPr>
          <w:rFonts w:hint="eastAsia"/>
        </w:rPr>
        <w:t>云南天质弘耕科技有限公司</w:t>
      </w:r>
      <w:r>
        <w:fldChar w:fldCharType="end"/>
      </w:r>
      <w:bookmarkEnd w:id="1"/>
      <w:r>
        <w:rPr>
          <w:rFonts w:hint="eastAsia"/>
        </w:rPr>
        <w:t>企业标</w:t>
      </w:r>
      <w:r>
        <w:rPr>
          <w:rFonts w:hint="eastAsia" w:ascii="Times New Roman" w:hAnsi="Times New Roman"/>
        </w:rPr>
        <w:t>准</w:t>
      </w:r>
    </w:p>
    <w:p>
      <w:pPr>
        <w:pStyle w:val="11"/>
        <w:rPr>
          <w:rFonts w:hAnsi="黑体"/>
        </w:rPr>
      </w:pPr>
      <w:r>
        <w:rPr>
          <w:rFonts w:ascii="Times New Roman"/>
        </w:rPr>
        <w:t>Q/</w:t>
      </w:r>
      <w:bookmarkStart w:id="2" w:name="StdNo0"/>
      <w:r>
        <w:rPr>
          <w:rFonts w:ascii="Times New Roman"/>
        </w:rPr>
        <w:fldChar w:fldCharType="begin">
          <w:ffData>
            <w:name w:val="StdNo0"/>
            <w:enabled/>
            <w:calcOnExit w:val="0"/>
            <w:textInput>
              <w:default w:val="XXX"/>
            </w:textInput>
          </w:ffData>
        </w:fldChar>
      </w:r>
      <w:r>
        <w:rPr>
          <w:rFonts w:ascii="Times New Roman"/>
        </w:rPr>
        <w:instrText xml:space="preserve"> FORMTEXT </w:instrText>
      </w:r>
      <w:r>
        <w:rPr>
          <w:rFonts w:ascii="Times New Roman"/>
        </w:rPr>
        <w:fldChar w:fldCharType="separate"/>
      </w:r>
      <w:r>
        <w:rPr>
          <w:rFonts w:ascii="Times New Roman"/>
        </w:rPr>
        <w:t>Y</w:t>
      </w:r>
      <w:r>
        <w:rPr>
          <w:rFonts w:hint="eastAsia" w:ascii="Times New Roman"/>
        </w:rPr>
        <w:t>TZ</w:t>
      </w:r>
      <w:r>
        <w:rPr>
          <w:rFonts w:ascii="Times New Roman"/>
        </w:rPr>
        <w:fldChar w:fldCharType="end"/>
      </w:r>
      <w:bookmarkEnd w:id="2"/>
      <w:r>
        <w:rPr>
          <w:rFonts w:hAnsi="黑体"/>
        </w:rPr>
        <w:t xml:space="preserve"> </w:t>
      </w:r>
      <w:bookmarkStart w:id="3"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0</w:t>
      </w:r>
      <w:r>
        <w:rPr>
          <w:rFonts w:hint="eastAsia" w:hAnsi="黑体"/>
          <w:lang w:val="en-US" w:eastAsia="zh-CN"/>
        </w:rPr>
        <w:t>25</w:t>
      </w:r>
      <w:r>
        <w:rPr>
          <w:rFonts w:hint="eastAsia" w:hAnsi="黑体"/>
        </w:rPr>
        <w:t>.2</w:t>
      </w:r>
      <w:r>
        <w:rPr>
          <w:rFonts w:hAnsi="黑体"/>
        </w:rPr>
        <w:fldChar w:fldCharType="end"/>
      </w:r>
      <w:bookmarkEnd w:id="3"/>
      <w:bookmarkStart w:id="4" w:name="StdNo2"/>
      <w:r>
        <w:rPr>
          <w:rFonts w:hint="eastAsia" w:hAnsi="黑体"/>
          <w:lang w:eastAsia="zh-CN"/>
        </w:rPr>
        <w:t>—</w:t>
      </w:r>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int="eastAsia" w:hAnsi="黑体"/>
        </w:rPr>
        <w:t>202</w:t>
      </w:r>
      <w:r>
        <w:rPr>
          <w:rFonts w:hint="eastAsia" w:hAnsi="黑体"/>
          <w:lang w:val="en-US" w:eastAsia="zh-CN"/>
        </w:rPr>
        <w:t>2</w:t>
      </w:r>
      <w:r>
        <w:rPr>
          <w:rFonts w:hAnsi="黑体"/>
        </w:rPr>
        <w:fldChar w:fldCharType="end"/>
      </w:r>
      <w:bookmarkEnd w:id="4"/>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12"/>
            </w:pPr>
            <w:bookmarkStart w:id="5"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6" name="矩形 6"/>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5g&#10;8svWAAAACAEAAA8AAAAAAAAAAQAgAAAAIgAAAGRycy9kb3ducmV2LnhtbFBLAQIUABQAAAAIAIdO&#10;4kCk0FoSswEAAGoDAAAOAAAAAAAAAAEAIAAAACUBAABkcnMvZTJvRG9jLnhtbFBLBQYAAAAABgAG&#10;AFkBAABKBQAAAAA=&#10;">
                      <v:fill on="t" focussize="0,0"/>
                      <v:stroke on="f"/>
                      <v:imagedata o:title=""/>
                      <o:lock v:ext="edit" aspectratio="f"/>
                      <v:textbox>
                        <w:txbxContent>
                          <w:p/>
                        </w:txbxContent>
                      </v:textbox>
                    </v:rect>
                  </w:pict>
                </mc:Fallback>
              </mc:AlternateContent>
            </w:r>
            <w:bookmarkEnd w:id="5"/>
          </w:p>
        </w:tc>
      </w:tr>
    </w:tbl>
    <w:p>
      <w:pPr>
        <w:pStyle w:val="11"/>
        <w:rPr>
          <w:rFonts w:hAnsi="黑体"/>
        </w:rPr>
      </w:pPr>
    </w:p>
    <w:p>
      <w:pPr>
        <w:pStyle w:val="11"/>
        <w:rPr>
          <w:rFonts w:hAnsi="黑体"/>
        </w:rPr>
      </w:pPr>
    </w:p>
    <w:p>
      <w:pPr>
        <w:pStyle w:val="13"/>
        <w:rPr>
          <w:rFonts w:hint="eastAsia" w:eastAsia="黑体"/>
          <w:lang w:eastAsia="zh-CN"/>
        </w:rPr>
      </w:pPr>
      <w:bookmarkStart w:id="6" w:name="StdName"/>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lang w:eastAsia="zh-CN"/>
        </w:rPr>
        <w:t>大麦</w:t>
      </w:r>
    </w:p>
    <w:p>
      <w:pPr>
        <w:pStyle w:val="13"/>
      </w:pPr>
      <w:r>
        <w:rPr>
          <w:rFonts w:hint="eastAsia"/>
        </w:rPr>
        <w:t>第2部分:</w:t>
      </w:r>
      <w:r>
        <w:rPr>
          <w:rFonts w:hint="eastAsia"/>
          <w:lang w:eastAsia="zh-CN"/>
        </w:rPr>
        <w:t>农药限量</w:t>
      </w:r>
      <w:r>
        <w:fldChar w:fldCharType="end"/>
      </w:r>
      <w:bookmarkEnd w:id="6"/>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4"/>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5" name="矩形 5"/>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Ymu&#10;ktUAAAAKAQAADwAAAAAAAAABACAAAAAiAAAAZHJzL2Rvd25yZXYueG1sUEsBAhQAFAAAAAgAh07i&#10;QMQg4hezAQAAagMAAA4AAAAAAAAAAQAgAAAAJAEAAGRycy9lMm9Eb2MueG1sUEsFBgAAAAAGAAYA&#10;WQEAAEkFAAAAAA==&#10;">
                      <v:fill on="t" focussize="0,0"/>
                      <v:stroke on="f"/>
                      <v:imagedata o:title=""/>
                      <o:lock v:ext="edit" aspectratio="f"/>
                      <v:textbox>
                        <w:txbxContent>
                          <w:p/>
                        </w:txbxContent>
                      </v:textbox>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8" name="矩形 8"/>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D&#10;4Yvl1gAAAAkBAAAPAAAAAAAAAAEAIAAAACIAAABkcnMvZG93bnJldi54bWxQSwECFAAUAAAACACH&#10;TuJA71WldbQBAABqAwAADgAAAAAAAAABACAAAAAlAQAAZHJzL2Uyb0RvYy54bWxQSwUGAAAAAAYA&#10;BgBZAQAASwUAAAAA&#10;">
                      <v:fill on="t" focussize="0,0"/>
                      <v:stroke on="f"/>
                      <v:imagedata o:title=""/>
                      <o:lock v:ext="edit" aspectratio="f"/>
                      <v:textbox>
                        <w:txbxContent>
                          <w:p/>
                        </w:txbxContent>
                      </v:textbox>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7"/>
              <w:jc w:val="both"/>
            </w:pPr>
          </w:p>
        </w:tc>
      </w:tr>
    </w:tbl>
    <w:p>
      <w:pPr>
        <w:pStyle w:val="18"/>
      </w:pPr>
      <w:bookmarkStart w:id="7"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7"/>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hint="eastAsia" w:ascii="黑体"/>
          <w:lang w:val="en-US" w:eastAsia="zh-CN"/>
        </w:rPr>
        <w:t>1</w:t>
      </w:r>
      <w:r>
        <w:rPr>
          <w:rFonts w:ascii="黑体"/>
        </w:rPr>
        <w:fldChar w:fldCharType="end"/>
      </w:r>
      <w:r>
        <w:t xml:space="preserve"> </w:t>
      </w:r>
      <w:r>
        <w:rPr>
          <w:rFonts w:ascii="黑体"/>
        </w:rPr>
        <w:t>-</w:t>
      </w:r>
      <w:r>
        <w:t xml:space="preserve"> </w:t>
      </w:r>
      <w:r>
        <w:rPr>
          <w:rFonts w:hint="eastAsia" w:ascii="黑体"/>
          <w:lang w:val="en-US" w:eastAsia="zh-CN"/>
        </w:rPr>
        <w:t>1</w:t>
      </w:r>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YdrPNYAAAALAQAADwAAAAAAAAABACAAAAAiAAAAZHJzL2Rvd25yZXYueG1sUEsBAhQA&#10;FAAAAAgAh07iQKyirZv0AQAA5AMAAA4AAAAAAAAAAQAgAAAAJQEAAGRycy9lMm9Eb2MueG1sUEsF&#10;BgAAAAAGAAYAWQEAAIsFAAAAAA==&#10;">
                <v:fill on="f" focussize="0,0"/>
                <v:stroke color="#000000" joinstyle="round"/>
                <v:imagedata o:title=""/>
                <o:lock v:ext="edit" aspectratio="f"/>
                <w10:anchorlock/>
              </v:line>
            </w:pict>
          </mc:Fallback>
        </mc:AlternateContent>
      </w:r>
    </w:p>
    <w:p>
      <w:pPr>
        <w:pStyle w:val="20"/>
      </w:pPr>
      <w:bookmarkStart w:id="8"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8"/>
      <w:r>
        <w:t xml:space="preserve"> </w:t>
      </w:r>
      <w:r>
        <w:rPr>
          <w:rFonts w:ascii="黑体"/>
        </w:rPr>
        <w:t>-</w:t>
      </w:r>
      <w:r>
        <w:t xml:space="preserve"> </w:t>
      </w:r>
      <w:bookmarkStart w:id="9" w:name="SM"/>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hint="eastAsia" w:ascii="黑体"/>
          <w:lang w:val="en-US" w:eastAsia="zh-CN"/>
        </w:rPr>
        <w:t>1</w:t>
      </w:r>
      <w:r>
        <w:rPr>
          <w:rFonts w:ascii="黑体"/>
        </w:rPr>
        <w:fldChar w:fldCharType="end"/>
      </w:r>
      <w:bookmarkEnd w:id="9"/>
      <w:r>
        <w:t xml:space="preserve"> </w:t>
      </w:r>
      <w:r>
        <w:rPr>
          <w:rFonts w:ascii="黑体"/>
        </w:rPr>
        <w:t>-</w:t>
      </w:r>
      <w:r>
        <w:t xml:space="preserve"> </w:t>
      </w:r>
      <w:bookmarkStart w:id="10" w:name="SD"/>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hint="eastAsia" w:ascii="黑体"/>
          <w:lang w:val="en-US" w:eastAsia="zh-CN"/>
        </w:rPr>
        <w:t>15</w:t>
      </w:r>
      <w:r>
        <w:rPr>
          <w:rFonts w:ascii="黑体"/>
        </w:rPr>
        <w:fldChar w:fldCharType="end"/>
      </w:r>
      <w:bookmarkEnd w:id="10"/>
      <w:r>
        <w:rPr>
          <w:rFonts w:hint="eastAsia"/>
        </w:rPr>
        <w:t>实施</w:t>
      </w:r>
    </w:p>
    <w:p>
      <w:pPr>
        <w:pStyle w:val="22"/>
      </w:pPr>
      <w:bookmarkStart w:id="11" w:name="fm"/>
      <w:r>
        <w:fldChar w:fldCharType="begin">
          <w:ffData>
            <w:name w:val="fm"/>
            <w:enabled/>
            <w:calcOnExit w:val="0"/>
            <w:textInput/>
          </w:ffData>
        </w:fldChar>
      </w:r>
      <w:r>
        <w:instrText xml:space="preserve"> FORMTEXT </w:instrText>
      </w:r>
      <w:r>
        <w:fldChar w:fldCharType="separate"/>
      </w:r>
      <w:r>
        <w:rPr>
          <w:rFonts w:hint="eastAsia"/>
        </w:rPr>
        <w:t>云南天质弘耕科技有限公司</w:t>
      </w:r>
      <w:r>
        <w:fldChar w:fldCharType="end"/>
      </w:r>
      <w:bookmarkEnd w:id="11"/>
      <w:r>
        <w:rPr>
          <w:rFonts w:hint="eastAsia" w:ascii="MS Mincho" w:hAnsi="MS Mincho" w:eastAsia="MS Mincho" w:cs="MS Mincho"/>
        </w:rPr>
        <w:t>   </w:t>
      </w:r>
      <w:r>
        <w:rPr>
          <w:rStyle w:val="25"/>
          <w:rFonts w:hint="eastAsia"/>
        </w:rPr>
        <w:t>发布</w:t>
      </w:r>
    </w:p>
    <w:p/>
    <w:p/>
    <w:p>
      <w:r>
        <mc:AlternateContent>
          <mc:Choice Requires="wps">
            <w:drawing>
              <wp:anchor distT="0" distB="0" distL="114300" distR="114300" simplePos="0" relativeHeight="251663360" behindDoc="0" locked="1" layoutInCell="1" allowOverlap="1">
                <wp:simplePos x="0" y="0"/>
                <wp:positionH relativeFrom="column">
                  <wp:posOffset>-153035</wp:posOffset>
                </wp:positionH>
                <wp:positionV relativeFrom="page">
                  <wp:posOffset>2679700</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05pt;margin-top:211pt;height:0pt;width:481.9pt;mso-position-vertical-relative:page;z-index:251663360;mso-width-relative:page;mso-height-relative:page;" filled="f" stroked="t" coordsize="21600,21600" o:gfxdata="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levtTYAAAACwEAAA8AAAAAAAAAAQAgAAAAIgAAAGRycy9kb3ducmV2LnhtbFBLAQIU&#10;ABQAAAAIAIdO4kCL3oUv8wEAAOQDAAAOAAAAAAAAAAEAIAAAACcBAABkcnMvZTJvRG9jLnhtbFBL&#10;BQYAAAAABgAGAFkBAACMBQAAAAA=&#10;">
                <v:fill on="f" focussize="0,0"/>
                <v:stroke color="#000000" joinstyle="round"/>
                <v:imagedata o:title=""/>
                <o:lock v:ext="edit" aspectratio="f"/>
                <w10:anchorlock/>
              </v:line>
            </w:pict>
          </mc:Fallback>
        </mc:AlternateContent>
      </w:r>
    </w:p>
    <w:p/>
    <w:p/>
    <w:p/>
    <w:p>
      <w:bookmarkStart w:id="40" w:name="_GoBack"/>
      <w:bookmarkEnd w:id="40"/>
    </w:p>
    <w:p/>
    <w:p/>
    <w:p/>
    <w:p/>
    <w:p>
      <w:pPr>
        <w:pStyle w:val="27"/>
        <w:jc w:val="center"/>
        <w:rPr>
          <w:rFonts w:hint="eastAsia"/>
        </w:rPr>
        <w:sectPr>
          <w:headerReference r:id="rId3" w:type="default"/>
          <w:pgSz w:w="11906" w:h="16838"/>
          <w:pgMar w:top="567" w:right="1134" w:bottom="1134" w:left="1417" w:header="1417" w:footer="1134" w:gutter="0"/>
          <w:cols w:space="425" w:num="1"/>
          <w:docGrid w:type="lines" w:linePitch="312" w:charSpace="0"/>
        </w:sectPr>
      </w:pPr>
    </w:p>
    <w:p>
      <w:pPr>
        <w:pStyle w:val="27"/>
        <w:jc w:val="center"/>
        <w:rPr>
          <w:rFonts w:hint="eastAsia"/>
        </w:rPr>
      </w:pPr>
      <w:r>
        <w:rPr>
          <w:rFonts w:hint="eastAsia"/>
        </w:rPr>
        <w:t>前</w:t>
      </w:r>
      <w:r>
        <w:rPr>
          <w:rFonts w:hint="eastAsia" w:ascii="MS Mincho" w:hAnsi="MS Mincho" w:eastAsia="MS Mincho" w:cs="MS Mincho"/>
        </w:rPr>
        <w:t>  </w:t>
      </w:r>
      <w:r>
        <w:rPr>
          <w:rFonts w:hint="eastAsia"/>
        </w:rPr>
        <w:t>言</w:t>
      </w:r>
    </w:p>
    <w:p>
      <w:pPr>
        <w:pStyle w:val="24"/>
        <w:rPr>
          <w:rFonts w:hint="eastAsia" w:hAnsi="Times New Roman" w:eastAsia="宋体" w:cs="Times New Roman"/>
          <w:szCs w:val="22"/>
        </w:rPr>
      </w:pPr>
      <w:r>
        <w:rPr>
          <w:rFonts w:hint="eastAsia" w:hAnsi="Times New Roman" w:eastAsia="宋体" w:cs="Times New Roman"/>
          <w:szCs w:val="22"/>
        </w:rPr>
        <w:t>本文件按照GB/T 1.1</w:t>
      </w:r>
      <w:r>
        <w:rPr>
          <w:rFonts w:hint="eastAsia" w:hAnsi="Times New Roman" w:eastAsia="宋体" w:cs="Times New Roman"/>
          <w:szCs w:val="22"/>
          <w:lang w:val="en-US" w:eastAsia="zh-CN"/>
        </w:rPr>
        <w:t>-</w:t>
      </w:r>
      <w:r>
        <w:rPr>
          <w:rFonts w:hint="eastAsia" w:hAnsi="Times New Roman" w:eastAsia="宋体" w:cs="Times New Roman"/>
          <w:szCs w:val="22"/>
        </w:rPr>
        <w:t>2020《标准化工作导则 第1部分：标准化文件的结构和起草规则》给出的规则起草。</w:t>
      </w:r>
    </w:p>
    <w:p>
      <w:pPr>
        <w:pStyle w:val="24"/>
        <w:rPr>
          <w:rFonts w:hint="eastAsia" w:hAnsi="Times New Roman" w:eastAsia="宋体" w:cs="Times New Roman"/>
          <w:szCs w:val="22"/>
        </w:rPr>
      </w:pPr>
      <w:r>
        <w:rPr>
          <w:rFonts w:hint="eastAsia" w:hAnsi="Times New Roman" w:eastAsia="宋体" w:cs="Times New Roman"/>
          <w:szCs w:val="22"/>
        </w:rPr>
        <w:t>本文件起草单位: 云南天质弘耕科技有限公司。</w:t>
      </w:r>
    </w:p>
    <w:p>
      <w:pPr>
        <w:pStyle w:val="24"/>
        <w:rPr>
          <w:rFonts w:hint="eastAsia" w:hAnsi="Times New Roman" w:eastAsia="宋体" w:cs="Times New Roman"/>
          <w:szCs w:val="22"/>
        </w:rPr>
      </w:pPr>
      <w:r>
        <w:rPr>
          <w:rFonts w:hint="eastAsia" w:hAnsi="Times New Roman" w:eastAsia="宋体" w:cs="Times New Roman"/>
          <w:szCs w:val="22"/>
        </w:rPr>
        <w:t>本文件主要起草人:李美琼、李佩龙、杨发宝。</w:t>
      </w:r>
    </w:p>
    <w:p/>
    <w:p/>
    <w:p/>
    <w:p/>
    <w:p/>
    <w:p/>
    <w:p/>
    <w:p/>
    <w:p/>
    <w:p/>
    <w:p/>
    <w:p/>
    <w:p/>
    <w:p/>
    <w:p/>
    <w:p/>
    <w:p/>
    <w:p/>
    <w:p/>
    <w:p/>
    <w:p/>
    <w:p/>
    <w:p/>
    <w:p/>
    <w:p/>
    <w:p/>
    <w:p/>
    <w:p/>
    <w:p/>
    <w:p/>
    <w:p/>
    <w:p/>
    <w:p/>
    <w:p>
      <w:pPr>
        <w:pStyle w:val="28"/>
        <w:rPr>
          <w:rFonts w:hint="eastAsia"/>
          <w:lang w:eastAsia="zh-CN"/>
        </w:rPr>
        <w:sectPr>
          <w:footerReference r:id="rId4" w:type="default"/>
          <w:pgSz w:w="11906" w:h="16838"/>
          <w:pgMar w:top="567" w:right="1134" w:bottom="1134" w:left="1417" w:header="1417" w:footer="1134" w:gutter="0"/>
          <w:pgNumType w:fmt="upperRoman" w:start="1"/>
          <w:cols w:space="425" w:num="1"/>
          <w:docGrid w:type="lines" w:linePitch="312" w:charSpace="0"/>
        </w:sectPr>
      </w:pPr>
    </w:p>
    <w:p>
      <w:pPr>
        <w:pStyle w:val="28"/>
        <w:rPr>
          <w:rFonts w:hint="eastAsia"/>
        </w:rPr>
      </w:pPr>
      <w:r>
        <w:rPr>
          <w:rFonts w:hint="eastAsia"/>
          <w:lang w:eastAsia="zh-CN"/>
        </w:rPr>
        <w:t>大麦</w:t>
      </w:r>
      <w:r>
        <w:rPr>
          <w:rFonts w:hint="eastAsia"/>
        </w:rPr>
        <w:t xml:space="preserve">                                                            第</w:t>
      </w:r>
      <w:bookmarkStart w:id="12" w:name="BZ"/>
      <w:bookmarkEnd w:id="12"/>
      <w:r>
        <w:rPr>
          <w:rFonts w:hint="eastAsia"/>
        </w:rPr>
        <w:t>2部分:病虫害防治</w:t>
      </w:r>
    </w:p>
    <w:p>
      <w:pPr>
        <w:pStyle w:val="29"/>
        <w:rPr>
          <w:rFonts w:hint="eastAsia"/>
        </w:rPr>
      </w:pPr>
      <w:r>
        <w:rPr>
          <w:rFonts w:hint="eastAsia"/>
        </w:rPr>
        <w:t>范围</w:t>
      </w:r>
    </w:p>
    <w:p>
      <w:pPr>
        <w:pStyle w:val="24"/>
        <w:rPr>
          <w:rFonts w:hint="eastAsia"/>
        </w:rPr>
      </w:pPr>
      <w:r>
        <w:rPr>
          <w:rFonts w:hint="eastAsia"/>
        </w:rPr>
        <w:t>本文件规定了</w:t>
      </w:r>
      <w:r>
        <w:rPr>
          <w:rFonts w:hint="eastAsia"/>
          <w:lang w:eastAsia="zh-CN"/>
        </w:rPr>
        <w:t>大麦重</w:t>
      </w:r>
      <w:r>
        <w:rPr>
          <w:rFonts w:hint="eastAsia"/>
        </w:rPr>
        <w:t>要病虫害</w:t>
      </w:r>
      <w:r>
        <w:rPr>
          <w:rFonts w:hint="eastAsia"/>
          <w:lang w:eastAsia="zh-CN"/>
        </w:rPr>
        <w:t>种类、</w:t>
      </w:r>
      <w:r>
        <w:rPr>
          <w:rFonts w:hint="eastAsia"/>
        </w:rPr>
        <w:t>防治的原则、措施及推荐使用药剂的技术要求。</w:t>
      </w:r>
    </w:p>
    <w:p>
      <w:pPr>
        <w:pStyle w:val="24"/>
        <w:rPr>
          <w:rFonts w:hint="eastAsia" w:eastAsia="宋体"/>
          <w:szCs w:val="22"/>
          <w:lang w:eastAsia="zh-CN"/>
        </w:rPr>
      </w:pPr>
      <w:r>
        <w:rPr>
          <w:rFonts w:hint="eastAsia"/>
          <w:szCs w:val="22"/>
        </w:rPr>
        <w:t>本文件适用于</w:t>
      </w:r>
      <w:r>
        <w:rPr>
          <w:rFonts w:hint="eastAsia"/>
          <w:szCs w:val="22"/>
          <w:lang w:eastAsia="zh-CN"/>
        </w:rPr>
        <w:t>大麦的病虫害防治。</w:t>
      </w:r>
    </w:p>
    <w:p>
      <w:pPr>
        <w:pStyle w:val="29"/>
        <w:rPr>
          <w:rFonts w:hint="eastAsia"/>
        </w:rPr>
      </w:pPr>
      <w:r>
        <w:rPr>
          <w:rFonts w:hint="eastAsia"/>
        </w:rPr>
        <w:t>规范性引用文件</w:t>
      </w:r>
    </w:p>
    <w:p>
      <w:pPr>
        <w:pStyle w:val="24"/>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4"/>
        <w:rPr>
          <w:rFonts w:hint="default"/>
          <w:lang w:val="en-US"/>
        </w:rPr>
      </w:pPr>
      <w:r>
        <w:rPr>
          <w:rFonts w:hint="eastAsia" w:ascii="宋体" w:hAnsi="宋体" w:eastAsia="宋体" w:cs="宋体"/>
          <w:lang w:val="en-US" w:eastAsia="zh-CN"/>
        </w:rPr>
        <w:t>GB 4404.1</w:t>
      </w:r>
      <w:r>
        <w:rPr>
          <w:rFonts w:hint="eastAsia" w:hAnsi="宋体" w:cs="宋体"/>
          <w:lang w:val="en-US" w:eastAsia="zh-CN"/>
        </w:rPr>
        <w:t xml:space="preserve">  粮食作物种子  第一部分：禾谷类</w:t>
      </w:r>
    </w:p>
    <w:p>
      <w:pPr>
        <w:pStyle w:val="24"/>
        <w:ind w:left="0" w:leftChars="0" w:firstLine="420" w:firstLineChars="200"/>
        <w:rPr>
          <w:rFonts w:hint="eastAsia"/>
          <w:lang w:val="en-US" w:eastAsia="zh-CN"/>
        </w:rPr>
      </w:pPr>
      <w:r>
        <w:rPr>
          <w:rFonts w:hint="eastAsia"/>
          <w:lang w:val="en-US" w:eastAsia="zh-CN"/>
        </w:rPr>
        <w:t>CB/T 8321.1～8321.9  农药合理使用准则</w:t>
      </w:r>
    </w:p>
    <w:p>
      <w:pPr>
        <w:pStyle w:val="24"/>
        <w:ind w:left="0" w:leftChars="0" w:firstLine="420" w:firstLineChars="200"/>
        <w:rPr>
          <w:rFonts w:hint="eastAsia"/>
          <w:lang w:val="en-US" w:eastAsia="zh-CN"/>
        </w:rPr>
      </w:pPr>
      <w:r>
        <w:rPr>
          <w:rFonts w:hint="eastAsia" w:ascii="宋体" w:hAnsi="Times New Roman" w:eastAsia="宋体" w:cs="Times New Roman"/>
          <w:kern w:val="0"/>
          <w:sz w:val="21"/>
          <w:szCs w:val="22"/>
          <w:lang w:val="en-US" w:eastAsia="zh-CN" w:bidi="ar-SA"/>
        </w:rPr>
        <w:t>NY/T 1276</w:t>
      </w:r>
      <w:r>
        <w:rPr>
          <w:rFonts w:hint="eastAsia" w:cs="Times New Roman"/>
          <w:kern w:val="0"/>
          <w:sz w:val="21"/>
          <w:szCs w:val="22"/>
          <w:lang w:val="en-US" w:eastAsia="zh-CN" w:bidi="ar-SA"/>
        </w:rPr>
        <w:t xml:space="preserve">  农药安全使用规范总则</w:t>
      </w:r>
    </w:p>
    <w:p>
      <w:pPr>
        <w:pStyle w:val="24"/>
        <w:spacing w:before="312" w:beforeLines="100" w:after="312" w:afterLines="100"/>
        <w:ind w:firstLine="0" w:firstLineChars="0"/>
        <w:rPr>
          <w:rFonts w:hint="eastAsia" w:ascii="黑体" w:hAnsi="黑体" w:eastAsia="黑体" w:cs="黑体"/>
        </w:rPr>
      </w:pPr>
      <w:r>
        <w:rPr>
          <w:rFonts w:hint="eastAsia" w:ascii="黑体" w:hAnsi="黑体" w:eastAsia="黑体" w:cs="黑体"/>
        </w:rPr>
        <w:t>3  术语和定义</w:t>
      </w:r>
    </w:p>
    <w:p>
      <w:pPr>
        <w:pStyle w:val="24"/>
        <w:rPr>
          <w:rFonts w:hint="eastAsia"/>
        </w:rPr>
      </w:pPr>
      <w:r>
        <w:rPr>
          <w:rFonts w:hint="eastAsia"/>
        </w:rPr>
        <w:t>下列术语和定义适用于本文件。</w:t>
      </w:r>
    </w:p>
    <w:p>
      <w:pPr>
        <w:pStyle w:val="24"/>
        <w:spacing w:before="156" w:beforeLines="50" w:after="156" w:afterLines="50"/>
        <w:ind w:firstLine="0" w:firstLineChars="0"/>
        <w:rPr>
          <w:rFonts w:hint="eastAsia" w:ascii="黑体" w:hAnsi="黑体" w:eastAsia="黑体"/>
          <w:szCs w:val="22"/>
        </w:rPr>
      </w:pPr>
      <w:r>
        <w:rPr>
          <w:rFonts w:hint="eastAsia" w:ascii="黑体" w:hAnsi="黑体" w:eastAsia="黑体"/>
          <w:szCs w:val="22"/>
        </w:rPr>
        <w:t xml:space="preserve">3.1 </w:t>
      </w:r>
    </w:p>
    <w:p>
      <w:pPr>
        <w:pStyle w:val="24"/>
        <w:spacing w:before="156" w:beforeLines="50" w:after="156" w:afterLines="50"/>
        <w:rPr>
          <w:rFonts w:hint="eastAsia" w:ascii="黑体" w:hAnsi="黑体" w:eastAsia="黑体" w:cs="黑体"/>
          <w:szCs w:val="22"/>
        </w:rPr>
      </w:pPr>
      <w:r>
        <w:rPr>
          <w:rFonts w:hint="eastAsia" w:ascii="黑体" w:hAnsi="黑体" w:eastAsia="黑体" w:cs="黑体"/>
          <w:szCs w:val="22"/>
        </w:rPr>
        <w:t>经济危害允许水平</w:t>
      </w:r>
    </w:p>
    <w:p>
      <w:pPr>
        <w:pStyle w:val="24"/>
      </w:pPr>
      <w:r>
        <w:rPr>
          <w:rFonts w:hint="eastAsia"/>
          <w:szCs w:val="22"/>
        </w:rPr>
        <w:t>是指因病虫害造成的损失与若防治其危害所需费用相等条件下的材积</w:t>
      </w:r>
      <w:r>
        <w:rPr>
          <w:szCs w:val="22"/>
        </w:rPr>
        <w:fldChar w:fldCharType="begin"/>
      </w:r>
      <w:r>
        <w:rPr>
          <w:szCs w:val="22"/>
        </w:rPr>
        <w:instrText xml:space="preserve"> HYPERLINK "https://baike.baidu.com/item/%E6%8D%9F%E5%A4%B1%E7%A8%8B%E5%BA%A6" \t "https://baike.baidu.com/item/%E7%BB%8F%E6%B5%8E%E5%8D%B1%E5%AE%B3%E5%85%81%E8%AE%B8%E6%B0%B4%E5%B9%B3/_blank" </w:instrText>
      </w:r>
      <w:r>
        <w:rPr>
          <w:szCs w:val="22"/>
        </w:rPr>
        <w:fldChar w:fldCharType="separate"/>
      </w:r>
      <w:r>
        <w:rPr>
          <w:szCs w:val="22"/>
        </w:rPr>
        <w:t>损失程度</w:t>
      </w:r>
      <w:r>
        <w:rPr>
          <w:szCs w:val="22"/>
        </w:rPr>
        <w:fldChar w:fldCharType="end"/>
      </w:r>
      <w:r>
        <w:rPr>
          <w:szCs w:val="22"/>
        </w:rPr>
        <w:t>或病虫情指数（虫口密度、感病指数等）。</w:t>
      </w:r>
    </w:p>
    <w:p>
      <w:pPr>
        <w:pStyle w:val="29"/>
        <w:numPr>
          <w:ilvl w:val="0"/>
          <w:numId w:val="0"/>
        </w:numPr>
        <w:rPr>
          <w:rFonts w:hint="eastAsia"/>
        </w:rPr>
      </w:pPr>
      <w:r>
        <w:rPr>
          <w:rFonts w:hint="eastAsia"/>
        </w:rPr>
        <w:t>4  推荐使用药剂的说明</w:t>
      </w:r>
    </w:p>
    <w:p>
      <w:pPr>
        <w:pStyle w:val="24"/>
        <w:rPr>
          <w:rFonts w:hint="eastAsia"/>
        </w:rPr>
      </w:pPr>
      <w:r>
        <w:rPr>
          <w:rFonts w:hint="eastAsia"/>
        </w:rPr>
        <w:t>本文件推荐的杀菌剂/杀虫剂是经我国农药管理部门登记允许在柑橘上使用的，不得使用国家禁止在果树上使用和未登记的农药。当新的有效农药出现或者新的管理规定出台时，以最新的规定为准。</w:t>
      </w:r>
    </w:p>
    <w:p>
      <w:pPr>
        <w:pStyle w:val="24"/>
        <w:spacing w:before="312" w:beforeLines="100" w:after="312" w:afterLines="100"/>
        <w:ind w:firstLine="0" w:firstLineChars="0"/>
        <w:rPr>
          <w:rFonts w:hint="eastAsia" w:ascii="黑体" w:hAnsi="黑体" w:eastAsia="黑体" w:cs="黑体"/>
        </w:rPr>
      </w:pPr>
      <w:r>
        <w:rPr>
          <w:rFonts w:hint="eastAsia" w:ascii="黑体" w:hAnsi="黑体" w:eastAsia="黑体" w:cs="黑体"/>
        </w:rPr>
        <w:t>5  主要防治对象</w:t>
      </w:r>
    </w:p>
    <w:p>
      <w:pPr>
        <w:pStyle w:val="24"/>
        <w:spacing w:after="156" w:afterLines="50"/>
        <w:ind w:firstLine="0" w:firstLineChars="0"/>
        <w:rPr>
          <w:rFonts w:hint="eastAsia" w:ascii="黑体" w:hAnsi="黑体" w:eastAsia="黑体" w:cs="黑体"/>
        </w:rPr>
      </w:pPr>
      <w:r>
        <w:rPr>
          <w:rFonts w:hint="eastAsia" w:ascii="黑体" w:hAnsi="黑体" w:eastAsia="黑体" w:cs="黑体"/>
        </w:rPr>
        <w:t>5.1  病害</w:t>
      </w:r>
    </w:p>
    <w:p>
      <w:pPr>
        <w:ind w:firstLine="420" w:firstLineChars="200"/>
        <w:rPr>
          <w:rFonts w:hint="eastAsia"/>
          <w:lang w:eastAsia="zh-CN"/>
        </w:rPr>
      </w:pPr>
      <w:r>
        <w:rPr>
          <w:rFonts w:hint="eastAsia"/>
          <w:lang w:eastAsia="zh-CN"/>
        </w:rPr>
        <w:t>白粉病、锈病、散黑穗病、腥黑穗病、赤霉病。</w:t>
      </w:r>
    </w:p>
    <w:p>
      <w:pPr>
        <w:pStyle w:val="24"/>
        <w:spacing w:before="156" w:beforeLines="50" w:after="156" w:afterLines="50"/>
        <w:ind w:firstLine="0" w:firstLineChars="0"/>
        <w:rPr>
          <w:rFonts w:hint="eastAsia" w:ascii="黑体" w:hAnsi="黑体" w:eastAsia="黑体" w:cs="黑体"/>
        </w:rPr>
      </w:pPr>
      <w:r>
        <w:rPr>
          <w:rFonts w:hint="eastAsia" w:ascii="黑体" w:hAnsi="黑体" w:eastAsia="黑体" w:cs="黑体"/>
        </w:rPr>
        <w:t>5.2  虫害</w:t>
      </w:r>
    </w:p>
    <w:p>
      <w:pPr>
        <w:ind w:firstLine="420" w:firstLineChars="200"/>
        <w:rPr>
          <w:rFonts w:hint="eastAsia"/>
          <w:lang w:eastAsia="zh-CN"/>
        </w:rPr>
      </w:pPr>
      <w:r>
        <w:rPr>
          <w:rFonts w:hint="eastAsia"/>
          <w:lang w:eastAsia="zh-CN"/>
        </w:rPr>
        <w:t>蚜虫、吸浆虫、麦蜘蛛、麦叶蜂、粘虫。</w:t>
      </w:r>
    </w:p>
    <w:p>
      <w:pPr>
        <w:pStyle w:val="24"/>
        <w:spacing w:before="156" w:beforeLines="50" w:after="156" w:afterLines="50"/>
        <w:ind w:firstLine="0" w:firstLineChars="0"/>
        <w:rPr>
          <w:rFonts w:hint="eastAsia"/>
        </w:rPr>
      </w:pPr>
      <w:r>
        <w:rPr>
          <w:rFonts w:hint="eastAsia" w:ascii="黑体" w:hAnsi="黑体" w:eastAsia="黑体" w:cs="黑体"/>
        </w:rPr>
        <w:t>6  防治原则</w:t>
      </w:r>
    </w:p>
    <w:p>
      <w:pPr>
        <w:pStyle w:val="24"/>
        <w:ind w:firstLine="0" w:firstLineChars="0"/>
        <w:rPr>
          <w:rFonts w:hint="eastAsia"/>
        </w:rPr>
      </w:pPr>
      <w:r>
        <w:rPr>
          <w:rFonts w:hint="eastAsia" w:ascii="黑体" w:hAnsi="黑体" w:eastAsia="黑体"/>
        </w:rPr>
        <w:t xml:space="preserve">6.1  </w:t>
      </w:r>
      <w:r>
        <w:rPr>
          <w:rFonts w:hint="eastAsia"/>
        </w:rPr>
        <w:t>以农业防治和物理防治为基础，提倡生物防治，根据</w:t>
      </w:r>
      <w:r>
        <w:rPr>
          <w:rFonts w:hint="eastAsia"/>
          <w:lang w:eastAsia="zh-CN"/>
        </w:rPr>
        <w:t>大麦</w:t>
      </w:r>
      <w:r>
        <w:rPr>
          <w:rFonts w:hint="eastAsia"/>
        </w:rPr>
        <w:t>病虫害发生规律，科学安全地使用化学防治技术，最大限度地减轻农药对生态环境的破坏和对自然天敌的伤害，将病虫害造成的损失控制在经济危害允许水平之内。</w:t>
      </w:r>
    </w:p>
    <w:p>
      <w:pPr>
        <w:pStyle w:val="24"/>
        <w:ind w:firstLine="0" w:firstLineChars="0"/>
        <w:rPr>
          <w:rFonts w:hint="eastAsia"/>
        </w:rPr>
      </w:pPr>
      <w:r>
        <w:rPr>
          <w:rFonts w:hint="eastAsia" w:ascii="黑体" w:hAnsi="黑体" w:eastAsia="黑体"/>
        </w:rPr>
        <w:t xml:space="preserve">6.2  </w:t>
      </w:r>
      <w:r>
        <w:rPr>
          <w:rFonts w:hint="eastAsia"/>
        </w:rPr>
        <w:t>按照《农药管理条例》的规定，使用的药剂均应为在国家农药管理部门登记允许在</w:t>
      </w:r>
      <w:r>
        <w:rPr>
          <w:rFonts w:hint="eastAsia"/>
          <w:lang w:eastAsia="zh-CN"/>
        </w:rPr>
        <w:t>大麦</w:t>
      </w:r>
      <w:r>
        <w:rPr>
          <w:rFonts w:hint="eastAsia"/>
        </w:rPr>
        <w:t>上用于防治该病虫的种类，如有调整，按照新的管理规定执行。</w:t>
      </w:r>
    </w:p>
    <w:p>
      <w:pPr>
        <w:pStyle w:val="24"/>
        <w:ind w:firstLine="0" w:firstLineChars="0"/>
        <w:rPr>
          <w:rFonts w:hint="eastAsia"/>
        </w:rPr>
      </w:pPr>
      <w:r>
        <w:rPr>
          <w:rFonts w:hint="eastAsia" w:ascii="黑体" w:hAnsi="黑体" w:eastAsia="黑体"/>
        </w:rPr>
        <w:t xml:space="preserve">6.3  </w:t>
      </w:r>
      <w:r>
        <w:rPr>
          <w:rFonts w:hint="eastAsia"/>
        </w:rPr>
        <w:t>禁止使用剧毒、高毒、高残留农药和致畸、致癌、致突变农药（在</w:t>
      </w:r>
      <w:r>
        <w:rPr>
          <w:rFonts w:hint="eastAsia"/>
          <w:lang w:eastAsia="zh-CN"/>
        </w:rPr>
        <w:t>大麦</w:t>
      </w:r>
      <w:r>
        <w:rPr>
          <w:rFonts w:hint="eastAsia"/>
        </w:rPr>
        <w:t>上禁用的农药名单参见附录</w:t>
      </w:r>
      <w:r>
        <w:rPr>
          <w:rFonts w:hint="eastAsia"/>
          <w:lang w:val="en-US" w:eastAsia="zh-CN"/>
        </w:rPr>
        <w:t>A</w:t>
      </w:r>
      <w:r>
        <w:rPr>
          <w:rFonts w:hint="eastAsia"/>
        </w:rPr>
        <w:t>，并根据国家发布的最新公告及时调整）。</w:t>
      </w:r>
    </w:p>
    <w:p>
      <w:pPr>
        <w:rPr>
          <w:rFonts w:hint="eastAsia"/>
          <w:lang w:eastAsia="zh-CN"/>
        </w:rPr>
      </w:pPr>
      <w:r>
        <w:rPr>
          <w:rFonts w:hint="eastAsia" w:ascii="黑体" w:hAnsi="黑体" w:eastAsia="黑体"/>
        </w:rPr>
        <w:t xml:space="preserve">6.4 </w:t>
      </w:r>
      <w:r>
        <w:rPr>
          <w:rFonts w:hint="eastAsia"/>
        </w:rPr>
        <w:t xml:space="preserve"> 农药合理使用按照</w:t>
      </w:r>
      <w:r>
        <w:rPr>
          <w:rFonts w:hint="eastAsia" w:ascii="宋体" w:hAnsi="Times New Roman" w:eastAsia="宋体" w:cs="Times New Roman"/>
          <w:kern w:val="0"/>
          <w:sz w:val="21"/>
          <w:szCs w:val="22"/>
          <w:lang w:val="en-US" w:eastAsia="zh-CN" w:bidi="ar-SA"/>
        </w:rPr>
        <w:t>GB/T 8321和NY/T 1276</w:t>
      </w:r>
      <w:r>
        <w:rPr>
          <w:rFonts w:hint="eastAsia"/>
        </w:rPr>
        <w:t>的规定执行</w:t>
      </w:r>
      <w:r>
        <w:rPr>
          <w:rFonts w:hint="eastAsia"/>
          <w:lang w:eastAsia="zh-CN"/>
        </w:rPr>
        <w:t>。</w:t>
      </w:r>
    </w:p>
    <w:p>
      <w:pPr>
        <w:pStyle w:val="24"/>
        <w:spacing w:before="312" w:beforeLines="100" w:after="312" w:afterLines="100"/>
        <w:ind w:firstLine="0" w:firstLineChars="0"/>
        <w:rPr>
          <w:rFonts w:hint="eastAsia" w:ascii="黑体" w:hAnsi="黑体" w:eastAsia="黑体" w:cs="黑体"/>
          <w:lang w:eastAsia="zh-CN"/>
        </w:rPr>
      </w:pPr>
      <w:r>
        <w:rPr>
          <w:rFonts w:hint="eastAsia" w:ascii="黑体" w:hAnsi="黑体" w:eastAsia="黑体" w:cs="黑体"/>
        </w:rPr>
        <w:t xml:space="preserve">7  </w:t>
      </w:r>
      <w:r>
        <w:rPr>
          <w:rFonts w:hint="eastAsia" w:ascii="黑体" w:hAnsi="黑体" w:eastAsia="黑体" w:cs="黑体"/>
          <w:lang w:eastAsia="zh-CN"/>
        </w:rPr>
        <w:t>综合防治技术</w:t>
      </w:r>
    </w:p>
    <w:p>
      <w:pPr>
        <w:pStyle w:val="2"/>
        <w:rPr>
          <w:rFonts w:hint="eastAsia"/>
        </w:rPr>
      </w:pPr>
      <w:bookmarkStart w:id="13" w:name="_Toc6606_WPSOffice_Level2"/>
      <w:bookmarkStart w:id="14" w:name="_Toc9868977"/>
      <w:bookmarkStart w:id="15" w:name="_Toc32590_WPSOffice_Level2"/>
      <w:bookmarkStart w:id="16" w:name="_Toc535659201"/>
      <w:bookmarkStart w:id="17" w:name="_Toc15525_WPSOffice_Level2"/>
      <w:r>
        <w:rPr>
          <w:rFonts w:hint="eastAsia"/>
          <w:lang w:val="en-US" w:eastAsia="zh-CN"/>
        </w:rPr>
        <w:t>7</w:t>
      </w:r>
      <w:r>
        <w:rPr>
          <w:rFonts w:hint="eastAsia"/>
        </w:rPr>
        <w:t>.1  生态治理</w:t>
      </w:r>
      <w:bookmarkEnd w:id="13"/>
      <w:bookmarkEnd w:id="14"/>
      <w:bookmarkEnd w:id="15"/>
      <w:bookmarkEnd w:id="16"/>
      <w:bookmarkEnd w:id="17"/>
    </w:p>
    <w:p>
      <w:pPr>
        <w:ind w:firstLine="420"/>
        <w:rPr>
          <w:rFonts w:hint="eastAsia" w:ascii="宋体" w:hAnsi="宋体" w:cs="宋体"/>
          <w:kern w:val="0"/>
          <w:szCs w:val="21"/>
        </w:rPr>
      </w:pPr>
      <w:r>
        <w:rPr>
          <w:rFonts w:hint="eastAsia" w:ascii="宋体" w:hAnsi="宋体" w:cs="宋体"/>
          <w:kern w:val="0"/>
          <w:szCs w:val="21"/>
          <w:lang w:eastAsia="zh-CN"/>
        </w:rPr>
        <w:t>大麦</w:t>
      </w:r>
      <w:r>
        <w:rPr>
          <w:rFonts w:hint="eastAsia" w:ascii="宋体" w:hAnsi="宋体" w:cs="宋体"/>
          <w:kern w:val="0"/>
          <w:szCs w:val="21"/>
        </w:rPr>
        <w:t>生态种植过程中，应增施有机肥，提高土壤有机质含量，促进作物营养均衡吸收，使作物生长健壮，从而增强抗病能力。应选用质量合格的商品有机肥和生物有机肥，自制农家肥应进行无害化处理，充分发酵捂熟，除去病虫源，重金属限量不超标方可使用。</w:t>
      </w:r>
    </w:p>
    <w:p>
      <w:pPr>
        <w:pStyle w:val="2"/>
        <w:rPr>
          <w:rFonts w:hint="eastAsia"/>
        </w:rPr>
      </w:pPr>
      <w:bookmarkStart w:id="18" w:name="_Toc535659202"/>
      <w:bookmarkStart w:id="19" w:name="_Toc27264_WPSOffice_Level2"/>
      <w:bookmarkStart w:id="20" w:name="_Toc9868978"/>
      <w:bookmarkStart w:id="21" w:name="_Toc25839_WPSOffice_Level2"/>
      <w:bookmarkStart w:id="22" w:name="_Toc6557_WPSOffice_Level2"/>
      <w:r>
        <w:rPr>
          <w:rFonts w:hint="eastAsia"/>
          <w:lang w:val="en-US" w:eastAsia="zh-CN"/>
        </w:rPr>
        <w:t>7</w:t>
      </w:r>
      <w:r>
        <w:rPr>
          <w:rFonts w:hint="eastAsia"/>
        </w:rPr>
        <w:t>.2  农业防治</w:t>
      </w:r>
      <w:bookmarkEnd w:id="18"/>
      <w:bookmarkEnd w:id="19"/>
      <w:bookmarkEnd w:id="20"/>
      <w:bookmarkEnd w:id="21"/>
      <w:bookmarkEnd w:id="22"/>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sz w:val="21"/>
          <w:szCs w:val="21"/>
        </w:rPr>
      </w:pPr>
      <w:r>
        <w:rPr>
          <w:rFonts w:hint="eastAsia" w:ascii="黑体" w:hAnsi="黑体" w:eastAsia="黑体" w:cs="黑体"/>
          <w:sz w:val="21"/>
          <w:szCs w:val="21"/>
          <w:lang w:val="en-US" w:eastAsia="zh-CN"/>
        </w:rPr>
        <w:t>7</w:t>
      </w:r>
      <w:r>
        <w:rPr>
          <w:rFonts w:hint="eastAsia" w:ascii="黑体" w:hAnsi="黑体" w:eastAsia="黑体" w:cs="黑体"/>
          <w:sz w:val="21"/>
          <w:szCs w:val="21"/>
        </w:rPr>
        <w:t>.2.1</w:t>
      </w:r>
      <w:r>
        <w:rPr>
          <w:rFonts w:hint="eastAsia" w:ascii="宋体" w:hAnsi="宋体" w:eastAsia="宋体" w:cs="宋体"/>
          <w:sz w:val="21"/>
          <w:szCs w:val="21"/>
        </w:rPr>
        <w:t xml:space="preserve"> </w:t>
      </w:r>
      <w:r>
        <w:rPr>
          <w:rFonts w:hint="eastAsia" w:ascii="黑体" w:hAnsi="Times New Roman" w:eastAsia="黑体" w:cs="Times New Roman"/>
          <w:kern w:val="0"/>
          <w:sz w:val="21"/>
          <w:szCs w:val="21"/>
          <w:lang w:val="en-US" w:eastAsia="zh-CN" w:bidi="ar-SA"/>
        </w:rPr>
        <w:t xml:space="preserve"> 选择优良品种</w:t>
      </w:r>
    </w:p>
    <w:p>
      <w:pPr>
        <w:pStyle w:val="31"/>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根据自然条件，因地制宜，选择抗病、优质、耐贮运、商品性好、适合市场需求的优良品种。</w:t>
      </w:r>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7.2.2  土壤翻耕</w:t>
      </w:r>
    </w:p>
    <w:p>
      <w:pPr>
        <w:pStyle w:val="31"/>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在冬季对土壤进行翻耕，使病虫害暴露在土壤表层，利用太阳紫外线杀灭病原菌，利用冬季低温杀灭害虫，从而降低病虫源，降低病虫害对作物的危害。</w:t>
      </w:r>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7.2.3  精准施肥</w:t>
      </w:r>
    </w:p>
    <w:p>
      <w:pPr>
        <w:ind w:firstLine="420" w:firstLineChars="200"/>
        <w:rPr>
          <w:rFonts w:hint="eastAsia" w:ascii="宋体" w:hAnsi="宋体" w:cs="宋体"/>
          <w:szCs w:val="21"/>
        </w:rPr>
      </w:pPr>
      <w:r>
        <w:rPr>
          <w:rFonts w:hint="eastAsia" w:ascii="宋体" w:hAnsi="宋体" w:cs="宋体"/>
          <w:kern w:val="0"/>
          <w:szCs w:val="21"/>
        </w:rPr>
        <w:t>采用测土配方平衡施肥技术，适当增施磷钾肥，加强田间管理，培育壮苗，增强植株抗病能力，有利于减轻病害。</w:t>
      </w:r>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7.2.4  科学管水</w:t>
      </w:r>
    </w:p>
    <w:p>
      <w:pPr>
        <w:pStyle w:val="31"/>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根据土壤墒情、气温和降雨情况，旱时及时灌溉，防止高温干旱造成虫害爆发；雨季及时排水，降低田间湿度，防止高温高湿造成病害爆发。</w:t>
      </w:r>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7.2.5  田间除草</w:t>
      </w:r>
    </w:p>
    <w:p>
      <w:pPr>
        <w:pStyle w:val="31"/>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春、夏季适当保留园地杂草，有利于调节土壤墒情，降低病原菌侵染风险，有利于天敌栖息，控制害虫危害。夏季杂草长势旺时，及时进行人工割草，保持园地杂草地上高度在20～30cm之间，保留天敌的食物链和栖息地。冬季结合土壤翻耕，去除田间杂草，降低病虫越冬基数，减轻次年病虫危害。</w:t>
      </w:r>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7.2.6  清洁园地</w:t>
      </w:r>
    </w:p>
    <w:p>
      <w:pPr>
        <w:pStyle w:val="31"/>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采收后，及时清除被病虫侵害的病枝、病叶、受害枝叶的植株残体，带出田间集中进行无害化处理，保持园地清洁。</w:t>
      </w:r>
    </w:p>
    <w:p>
      <w:pPr>
        <w:pStyle w:val="2"/>
        <w:rPr>
          <w:rFonts w:hint="eastAsia"/>
        </w:rPr>
      </w:pPr>
      <w:bookmarkStart w:id="23" w:name="_Toc9868979"/>
      <w:r>
        <w:rPr>
          <w:rFonts w:hint="eastAsia"/>
          <w:lang w:val="en-US" w:eastAsia="zh-CN"/>
        </w:rPr>
        <w:t>7</w:t>
      </w:r>
      <w:r>
        <w:rPr>
          <w:rFonts w:hint="eastAsia"/>
        </w:rPr>
        <w:t>.3  生物控制</w:t>
      </w:r>
      <w:bookmarkEnd w:id="23"/>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7.3.1  利用寄生性天敌</w:t>
      </w:r>
    </w:p>
    <w:p>
      <w:pPr>
        <w:ind w:firstLine="420" w:firstLineChars="200"/>
        <w:rPr>
          <w:rFonts w:hint="eastAsia" w:ascii="宋体" w:hAnsi="宋体"/>
        </w:rPr>
      </w:pPr>
      <w:r>
        <w:rPr>
          <w:rFonts w:hint="eastAsia" w:ascii="宋体" w:hAnsi="宋体"/>
        </w:rPr>
        <w:t>主要有寄生蜂和寄生蝇，最常见有赤眼蜂、寄生蝇防治松毛虫等多种害虫，肿腿蜂防治天牛，花角蚜小蜂防治松突圆蚧。</w:t>
      </w:r>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7.3.2  利用捕食性天敌</w:t>
      </w:r>
    </w:p>
    <w:p>
      <w:pPr>
        <w:pStyle w:val="31"/>
        <w:spacing w:line="240" w:lineRule="auto"/>
        <w:ind w:firstLine="420" w:firstLineChars="200"/>
        <w:rPr>
          <w:rFonts w:hint="eastAsia" w:ascii="宋体" w:hAnsi="宋体" w:eastAsia="宋体" w:cs="宋体"/>
          <w:sz w:val="21"/>
          <w:szCs w:val="21"/>
        </w:rPr>
      </w:pPr>
      <w:r>
        <w:rPr>
          <w:rFonts w:hint="eastAsia" w:ascii="宋体" w:hAnsi="宋体" w:eastAsia="宋体"/>
          <w:sz w:val="21"/>
          <w:szCs w:val="21"/>
        </w:rPr>
        <w:t>这类天敌很多，主要为食虫、食鼠的脊椎动物和捕食性节肢动物两大类。鸟类有山雀、灰喜雀、啄木鸟等捕食害虫的不同虫态。鼠类天敌如黄鼬、猫头鹰、蛇等，节肢动物中捕食性天敌有瓢虫、螳螂、蚂蚁等昆虫外，还有蜘蛛和螨类。</w:t>
      </w:r>
    </w:p>
    <w:p>
      <w:pPr>
        <w:pStyle w:val="2"/>
        <w:rPr>
          <w:rFonts w:hint="eastAsia"/>
        </w:rPr>
      </w:pPr>
      <w:bookmarkStart w:id="24" w:name="_Toc9868980"/>
      <w:r>
        <w:rPr>
          <w:rFonts w:hint="eastAsia"/>
          <w:lang w:val="en-US" w:eastAsia="zh-CN"/>
        </w:rPr>
        <w:t>7</w:t>
      </w:r>
      <w:r>
        <w:rPr>
          <w:rFonts w:hint="eastAsia"/>
        </w:rPr>
        <w:t>.4  生物防治</w:t>
      </w:r>
      <w:bookmarkEnd w:id="24"/>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7.4.1  病害生物防治</w:t>
      </w:r>
    </w:p>
    <w:p>
      <w:pPr>
        <w:pStyle w:val="31"/>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利用木霉菌、枯草芽孢杆菌、蜡质芽孢杆菌、地衣芽孢杆菌、多粘类芽孢杆菌、荧光假单胞杆菌、短稳杆菌、春雷霉素、多抗霉素、井冈霉素、链霉素、宁南霉素等防治病害。</w:t>
      </w:r>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7.4.2  虫害生物防治</w:t>
      </w:r>
    </w:p>
    <w:p>
      <w:pPr>
        <w:pStyle w:val="31"/>
        <w:spacing w:line="240" w:lineRule="auto"/>
        <w:ind w:firstLine="420"/>
        <w:rPr>
          <w:rFonts w:hint="eastAsia" w:ascii="宋体" w:hAnsi="宋体" w:eastAsia="宋体" w:cs="宋体"/>
          <w:sz w:val="21"/>
          <w:szCs w:val="21"/>
        </w:rPr>
      </w:pPr>
      <w:r>
        <w:rPr>
          <w:rFonts w:hint="eastAsia" w:ascii="宋体" w:hAnsi="宋体" w:eastAsia="宋体" w:cs="宋体"/>
          <w:sz w:val="21"/>
          <w:szCs w:val="21"/>
        </w:rPr>
        <w:t>利用阿维菌素、苦参碱、印楝素、苦皮藤素等植物源杀虫剂和绿僵菌、白僵菌、苏云金杆菌等生物杀虫剂防治害虫。</w:t>
      </w:r>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7.4.3  利用性诱剂</w:t>
      </w:r>
    </w:p>
    <w:p>
      <w:pPr>
        <w:pStyle w:val="31"/>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利用昆虫对性激素的趋性来诱杀有害昆虫。如利用性诱剂诱杀实蝇类、斜纹夜蛾、甜菜夜蛾、桃蛀螟等。</w:t>
      </w:r>
    </w:p>
    <w:p>
      <w:pPr>
        <w:pStyle w:val="2"/>
        <w:rPr>
          <w:rFonts w:hint="eastAsia"/>
        </w:rPr>
      </w:pPr>
      <w:bookmarkStart w:id="25" w:name="_Toc4156_WPSOffice_Level2"/>
      <w:bookmarkStart w:id="26" w:name="_Toc10639_WPSOffice_Level2"/>
      <w:bookmarkStart w:id="27" w:name="_Toc10586_WPSOffice_Level2"/>
      <w:bookmarkStart w:id="28" w:name="_Toc9868981"/>
      <w:bookmarkStart w:id="29" w:name="_Toc535659203"/>
      <w:r>
        <w:rPr>
          <w:rFonts w:hint="eastAsia"/>
          <w:lang w:val="en-US" w:eastAsia="zh-CN"/>
        </w:rPr>
        <w:t>7</w:t>
      </w:r>
      <w:r>
        <w:rPr>
          <w:rFonts w:hint="eastAsia"/>
        </w:rPr>
        <w:t>.5  物理防治</w:t>
      </w:r>
      <w:bookmarkEnd w:id="25"/>
      <w:bookmarkEnd w:id="26"/>
      <w:bookmarkEnd w:id="27"/>
      <w:bookmarkEnd w:id="28"/>
      <w:bookmarkEnd w:id="29"/>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sz w:val="21"/>
          <w:szCs w:val="21"/>
          <w:lang w:val="en-US" w:eastAsia="zh-CN"/>
        </w:rPr>
      </w:pPr>
      <w:bookmarkStart w:id="30" w:name="_Toc535659204"/>
      <w:bookmarkStart w:id="31" w:name="_Toc2415_WPSOffice_Level2"/>
      <w:bookmarkStart w:id="32" w:name="_Toc26604_WPSOffice_Level2"/>
      <w:bookmarkStart w:id="33" w:name="_Toc9639_WPSOffice_Level2"/>
      <w:r>
        <w:rPr>
          <w:rFonts w:hint="eastAsia" w:ascii="黑体" w:hAnsi="黑体" w:eastAsia="黑体" w:cs="黑体"/>
          <w:sz w:val="21"/>
          <w:szCs w:val="21"/>
          <w:lang w:val="en-US" w:eastAsia="zh-CN"/>
        </w:rPr>
        <w:t>7.5.1  色板诱杀</w:t>
      </w:r>
    </w:p>
    <w:p>
      <w:pPr>
        <w:pStyle w:val="32"/>
        <w:ind w:firstLine="420" w:firstLineChars="200"/>
        <w:rPr>
          <w:rFonts w:hint="eastAsia" w:ascii="宋体" w:hAnsi="宋体" w:eastAsia="宋体" w:cs="宋体"/>
          <w:sz w:val="21"/>
          <w:szCs w:val="21"/>
        </w:rPr>
      </w:pPr>
      <w:r>
        <w:rPr>
          <w:rFonts w:hint="eastAsia" w:ascii="宋体" w:hAnsi="宋体" w:eastAsia="宋体" w:cs="宋体"/>
          <w:sz w:val="21"/>
          <w:szCs w:val="21"/>
        </w:rPr>
        <w:t>针对美洲斑潜蝇、豆蚜、豌豆修尾蚜、温室白粉虱等害虫，利用黄色粘虫板进行诱杀；针对端大蓟马，利用蓝色粘虫板进行诱杀，每亩用20～25张，悬挂高度高于植株20cm，粘虫板粘满虫后及时更换。一般而言，多数害虫对黄色敏感，少数害虫（蓟马等）对蓝色敏感，每亩悬挂15～20张黄色粘虫板搭配5～10张蓝色粘虫板具有较好的防虫效果。</w:t>
      </w:r>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7.5.2  灯光诱杀</w:t>
      </w:r>
    </w:p>
    <w:p>
      <w:pPr>
        <w:pStyle w:val="32"/>
        <w:ind w:firstLine="420" w:firstLineChars="200"/>
        <w:rPr>
          <w:rFonts w:hint="eastAsia" w:ascii="宋体" w:hAnsi="宋体" w:eastAsia="宋体" w:cs="宋体"/>
          <w:sz w:val="21"/>
          <w:szCs w:val="21"/>
        </w:rPr>
      </w:pPr>
      <w:r>
        <w:rPr>
          <w:rFonts w:hint="eastAsia" w:ascii="宋体" w:hAnsi="宋体" w:eastAsia="宋体" w:cs="宋体"/>
          <w:sz w:val="21"/>
          <w:szCs w:val="21"/>
        </w:rPr>
        <w:t>3～10月，每30～40亩安装频振式杀虫灯或太阳能杀虫灯1盏，高度离地面1.7～2.0米，诱杀小地老虎、豆荚斑螟、豇豆荚螟、甜菜夜蛾、双线盗毒蛾、盗毒蛾、肾毒蛾、银纹夜蛾、稀点雪灯蛾、白雪灯蛾等趋光性害虫成虫。</w:t>
      </w:r>
    </w:p>
    <w:p>
      <w:pPr>
        <w:pStyle w:val="30"/>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7.5.3  声波驱虫</w:t>
      </w:r>
    </w:p>
    <w:p>
      <w:pPr>
        <w:pStyle w:val="32"/>
        <w:ind w:firstLine="420" w:firstLineChars="200"/>
        <w:rPr>
          <w:rFonts w:hint="eastAsia" w:ascii="宋体" w:hAnsi="宋体" w:eastAsia="宋体" w:cs="宋体"/>
          <w:sz w:val="21"/>
          <w:szCs w:val="21"/>
        </w:rPr>
      </w:pPr>
      <w:r>
        <w:rPr>
          <w:rFonts w:hint="eastAsia" w:ascii="宋体" w:hAnsi="宋体" w:eastAsia="宋体" w:cs="宋体"/>
          <w:sz w:val="21"/>
          <w:szCs w:val="21"/>
        </w:rPr>
        <w:t>对听觉敏感的害虫，采用频率为25Hz～500Hz的脉冲调制声波发生器进行驱虫，60亩左右（200m×200m）安装1台，持续发射声波来干扰害虫听觉环境，使其情绪烦躁、心里恐慌，无法忍受所处环境而逃离，达到驱虫目的。</w:t>
      </w:r>
    </w:p>
    <w:p>
      <w:pPr>
        <w:pStyle w:val="32"/>
        <w:ind w:firstLine="420" w:firstLineChars="200"/>
        <w:rPr>
          <w:rFonts w:hint="eastAsia" w:ascii="宋体" w:hAnsi="宋体" w:eastAsia="宋体"/>
          <w:color w:val="FF0000"/>
        </w:rPr>
      </w:pPr>
      <w:r>
        <w:rPr>
          <w:rFonts w:hint="eastAsia" w:ascii="宋体" w:hAnsi="宋体" w:eastAsia="宋体" w:cs="宋体"/>
          <w:sz w:val="21"/>
          <w:szCs w:val="21"/>
        </w:rPr>
        <w:t>对于有翅昆虫，采用24KHz～64KHz的超声波发生器进行驱虫，5～10亩（50～100m×50～100m）安装1台，发射超声波干扰昆虫翅膀振动，使其无法正常飞行，无法正常取食而死亡。</w:t>
      </w:r>
      <w:bookmarkEnd w:id="30"/>
      <w:bookmarkEnd w:id="31"/>
      <w:bookmarkEnd w:id="32"/>
      <w:bookmarkEnd w:id="33"/>
      <w:bookmarkStart w:id="34" w:name="_Toc535659205"/>
      <w:bookmarkStart w:id="35" w:name="_Toc31093_WPSOffice_Level2"/>
      <w:bookmarkStart w:id="36" w:name="_Toc5414_WPSOffice_Level2"/>
      <w:bookmarkStart w:id="37" w:name="_Toc3114_WPSOffice_Level2"/>
    </w:p>
    <w:p>
      <w:pPr>
        <w:pStyle w:val="2"/>
      </w:pPr>
      <w:bookmarkStart w:id="38" w:name="_Toc9868982"/>
      <w:r>
        <w:rPr>
          <w:rFonts w:hint="eastAsia"/>
          <w:lang w:val="en-US" w:eastAsia="zh-CN"/>
        </w:rPr>
        <w:t>7</w:t>
      </w:r>
      <w:r>
        <w:rPr>
          <w:rFonts w:hint="eastAsia"/>
        </w:rPr>
        <w:t>.6  化学防治</w:t>
      </w:r>
      <w:bookmarkEnd w:id="34"/>
      <w:bookmarkEnd w:id="35"/>
      <w:bookmarkEnd w:id="36"/>
      <w:bookmarkEnd w:id="37"/>
      <w:bookmarkEnd w:id="38"/>
    </w:p>
    <w:p>
      <w:pPr>
        <w:ind w:firstLine="420" w:firstLineChars="200"/>
        <w:rPr>
          <w:rFonts w:hint="eastAsia" w:ascii="宋体" w:hAnsi="宋体" w:cs="宋体"/>
          <w:szCs w:val="21"/>
        </w:rPr>
      </w:pPr>
      <w:r>
        <w:rPr>
          <w:rFonts w:hint="eastAsia" w:ascii="宋体" w:hAnsi="宋体" w:cs="宋体"/>
          <w:szCs w:val="21"/>
          <w:lang w:eastAsia="zh-CN"/>
        </w:rPr>
        <w:t>大麦</w:t>
      </w:r>
      <w:r>
        <w:rPr>
          <w:rFonts w:hint="eastAsia" w:ascii="宋体" w:hAnsi="宋体" w:cs="宋体"/>
          <w:szCs w:val="21"/>
        </w:rPr>
        <w:t>安全食品生产病害及虫害限量使用的农药及限量值见表</w:t>
      </w:r>
      <w:r>
        <w:rPr>
          <w:rFonts w:hint="eastAsia" w:ascii="宋体" w:hAnsi="宋体" w:cs="宋体"/>
          <w:szCs w:val="21"/>
          <w:lang w:val="en-US" w:eastAsia="zh-CN"/>
        </w:rPr>
        <w:t>1</w:t>
      </w:r>
      <w:r>
        <w:rPr>
          <w:rFonts w:hint="eastAsia" w:ascii="宋体" w:hAnsi="宋体" w:cs="宋体"/>
          <w:szCs w:val="21"/>
        </w:rPr>
        <w:t>、表</w:t>
      </w:r>
      <w:r>
        <w:rPr>
          <w:rFonts w:hint="eastAsia" w:ascii="宋体" w:hAnsi="宋体" w:cs="宋体"/>
          <w:szCs w:val="21"/>
          <w:lang w:val="en-US" w:eastAsia="zh-CN"/>
        </w:rPr>
        <w:t>2</w:t>
      </w:r>
      <w:r>
        <w:rPr>
          <w:rFonts w:hint="eastAsia" w:ascii="宋体" w:hAnsi="宋体" w:cs="宋体"/>
          <w:szCs w:val="21"/>
        </w:rPr>
        <w:t>。</w:t>
      </w:r>
    </w:p>
    <w:p>
      <w:pPr>
        <w:spacing w:before="156" w:beforeLines="50" w:after="156" w:afterLines="50"/>
        <w:jc w:val="center"/>
        <w:rPr>
          <w:rFonts w:hint="eastAsia" w:ascii="黑体" w:hAnsi="黑体" w:eastAsia="黑体" w:cs="黑体"/>
          <w:sz w:val="21"/>
          <w:szCs w:val="21"/>
        </w:rPr>
      </w:pPr>
      <w:bookmarkStart w:id="39" w:name="_Toc23065_WPSOffice_Level1"/>
      <w:r>
        <w:rPr>
          <w:rFonts w:hint="eastAsia" w:ascii="黑体" w:hAnsi="黑体" w:eastAsia="黑体" w:cs="黑体"/>
          <w:sz w:val="21"/>
          <w:szCs w:val="21"/>
        </w:rPr>
        <w:t xml:space="preserve">表2  </w:t>
      </w:r>
      <w:r>
        <w:rPr>
          <w:rFonts w:hint="eastAsia" w:ascii="黑体" w:hAnsi="黑体" w:eastAsia="黑体" w:cs="黑体"/>
          <w:sz w:val="21"/>
          <w:szCs w:val="21"/>
          <w:lang w:eastAsia="zh-CN"/>
        </w:rPr>
        <w:t>大麦</w:t>
      </w:r>
      <w:r>
        <w:rPr>
          <w:rFonts w:hint="eastAsia" w:ascii="黑体" w:hAnsi="黑体" w:eastAsia="黑体" w:cs="黑体"/>
          <w:sz w:val="21"/>
          <w:szCs w:val="21"/>
        </w:rPr>
        <w:t>主要病害防治药剂及限量值</w:t>
      </w:r>
      <w:bookmarkEnd w:id="39"/>
    </w:p>
    <w:tbl>
      <w:tblPr>
        <w:tblStyle w:val="6"/>
        <w:tblW w:w="0" w:type="auto"/>
        <w:tblInd w:w="0" w:type="dxa"/>
        <w:tblLayout w:type="fixed"/>
        <w:tblCellMar>
          <w:top w:w="0" w:type="dxa"/>
          <w:left w:w="0" w:type="dxa"/>
          <w:bottom w:w="0" w:type="dxa"/>
          <w:right w:w="0" w:type="dxa"/>
        </w:tblCellMar>
      </w:tblPr>
      <w:tblGrid>
        <w:gridCol w:w="776"/>
        <w:gridCol w:w="955"/>
        <w:gridCol w:w="2579"/>
        <w:gridCol w:w="1516"/>
        <w:gridCol w:w="684"/>
        <w:gridCol w:w="983"/>
        <w:gridCol w:w="843"/>
      </w:tblGrid>
      <w:tr>
        <w:tblPrEx>
          <w:tblCellMar>
            <w:top w:w="0" w:type="dxa"/>
            <w:left w:w="0" w:type="dxa"/>
            <w:bottom w:w="0" w:type="dxa"/>
            <w:right w:w="0" w:type="dxa"/>
          </w:tblCellMar>
        </w:tblPrEx>
        <w:trPr>
          <w:trHeight w:val="4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病害类型</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病害名称</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000000"/>
                <w:kern w:val="0"/>
                <w:sz w:val="18"/>
                <w:szCs w:val="18"/>
                <w:u w:val="none"/>
                <w:lang w:val="en-US" w:eastAsia="zh-CN" w:bidi="ar"/>
              </w:rPr>
              <w:t>防治药剂推荐</w:t>
            </w:r>
          </w:p>
        </w:tc>
        <w:tc>
          <w:tcPr>
            <w:tcW w:w="15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000000"/>
                <w:kern w:val="0"/>
                <w:sz w:val="18"/>
                <w:szCs w:val="18"/>
                <w:u w:val="none"/>
                <w:lang w:val="en-US" w:eastAsia="zh-CN" w:bidi="ar"/>
              </w:rPr>
              <w:t>限用量</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000000"/>
                <w:kern w:val="0"/>
                <w:sz w:val="18"/>
                <w:szCs w:val="18"/>
                <w:u w:val="none"/>
                <w:lang w:val="en-US" w:eastAsia="zh-CN" w:bidi="ar"/>
              </w:rPr>
              <w:t>使用方法</w:t>
            </w: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000000"/>
                <w:kern w:val="0"/>
                <w:sz w:val="18"/>
                <w:szCs w:val="18"/>
                <w:u w:val="none"/>
                <w:lang w:val="en-US" w:eastAsia="zh-CN" w:bidi="ar"/>
              </w:rPr>
              <w:t>最多使用次数</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000000"/>
                <w:kern w:val="0"/>
                <w:sz w:val="18"/>
                <w:szCs w:val="18"/>
                <w:u w:val="none"/>
                <w:lang w:val="en-US" w:eastAsia="zh-CN" w:bidi="ar"/>
              </w:rPr>
              <w:t>安全间隔期</w:t>
            </w:r>
          </w:p>
        </w:tc>
      </w:tr>
      <w:tr>
        <w:tblPrEx>
          <w:tblCellMar>
            <w:top w:w="0" w:type="dxa"/>
            <w:left w:w="0" w:type="dxa"/>
            <w:bottom w:w="0" w:type="dxa"/>
            <w:right w:w="0" w:type="dxa"/>
          </w:tblCellMar>
        </w:tblPrEx>
        <w:trPr>
          <w:trHeight w:val="480"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真菌性病害</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大麦条锈病、大麦网斑病、大麦叶锈病、大麦麦角病</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1.50%多抗霉素水剂</w:t>
            </w:r>
          </w:p>
        </w:tc>
        <w:tc>
          <w:tcPr>
            <w:tcW w:w="15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333.3～666.7g/亩</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10亿CFU/克解淀粉芽孢杆菌可湿性粉剂</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15～20g/亩</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77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5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10亿个/克枯草芽孢杆菌可湿性粉剂</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150～200g/亩</w:t>
            </w: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2%嘧啶核苷类抗菌素水剂</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500～600ml/亩</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5%井冈霉素水剂</w:t>
            </w:r>
          </w:p>
        </w:tc>
        <w:tc>
          <w:tcPr>
            <w:tcW w:w="15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200～250g/亩</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r>
      <w:tr>
        <w:tblPrEx>
          <w:tblCellMar>
            <w:top w:w="0" w:type="dxa"/>
            <w:left w:w="0" w:type="dxa"/>
            <w:bottom w:w="0" w:type="dxa"/>
            <w:right w:w="0" w:type="dxa"/>
          </w:tblCellMar>
        </w:tblPrEx>
        <w:trPr>
          <w:trHeight w:val="4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真菌性病害</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大麦条纹病、大麦坚黑穗病、大麦散黑穗病</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400克/升萎锈·福美双悬浮剂</w:t>
            </w:r>
          </w:p>
        </w:tc>
        <w:tc>
          <w:tcPr>
            <w:tcW w:w="15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1：333～500(药种比）</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拌种</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r>
      <w:tr>
        <w:tblPrEx>
          <w:tblCellMar>
            <w:top w:w="0" w:type="dxa"/>
            <w:left w:w="0" w:type="dxa"/>
            <w:bottom w:w="0" w:type="dxa"/>
            <w:right w:w="0" w:type="dxa"/>
          </w:tblCellMar>
        </w:tblPrEx>
        <w:trPr>
          <w:trHeight w:val="480"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真菌性病害</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大麦白粉病</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30%己唑醇悬浮剂</w:t>
            </w:r>
          </w:p>
        </w:tc>
        <w:tc>
          <w:tcPr>
            <w:tcW w:w="15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10～12ml/亩</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r>
      <w:tr>
        <w:tblPrEx>
          <w:tblCellMar>
            <w:top w:w="0" w:type="dxa"/>
            <w:left w:w="0" w:type="dxa"/>
            <w:bottom w:w="0" w:type="dxa"/>
            <w:right w:w="0" w:type="dxa"/>
          </w:tblCellMar>
        </w:tblPrEx>
        <w:trPr>
          <w:trHeight w:val="4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12.5%腈菌唑微乳剂</w:t>
            </w:r>
          </w:p>
        </w:tc>
        <w:tc>
          <w:tcPr>
            <w:tcW w:w="15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30～40mL/亩</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r>
      <w:tr>
        <w:tblPrEx>
          <w:tblCellMar>
            <w:top w:w="0" w:type="dxa"/>
            <w:left w:w="0" w:type="dxa"/>
            <w:bottom w:w="0" w:type="dxa"/>
            <w:right w:w="0" w:type="dxa"/>
          </w:tblCellMar>
        </w:tblPrEx>
        <w:trPr>
          <w:trHeight w:val="4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50%醚菌酯水分散粒剂</w:t>
            </w:r>
          </w:p>
        </w:tc>
        <w:tc>
          <w:tcPr>
            <w:tcW w:w="15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16～20g/亩</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r>
      <w:tr>
        <w:tblPrEx>
          <w:tblCellMar>
            <w:top w:w="0" w:type="dxa"/>
            <w:left w:w="0" w:type="dxa"/>
            <w:bottom w:w="0" w:type="dxa"/>
            <w:right w:w="0" w:type="dxa"/>
          </w:tblCellMar>
        </w:tblPrEx>
        <w:trPr>
          <w:trHeight w:val="72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2%嘧啶核苷类抗菌素水剂</w:t>
            </w:r>
          </w:p>
        </w:tc>
        <w:tc>
          <w:tcPr>
            <w:tcW w:w="15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250mL/亩</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r>
      <w:tr>
        <w:tblPrEx>
          <w:tblCellMar>
            <w:top w:w="0" w:type="dxa"/>
            <w:left w:w="0" w:type="dxa"/>
            <w:bottom w:w="0" w:type="dxa"/>
            <w:right w:w="0" w:type="dxa"/>
          </w:tblCellMar>
        </w:tblPrEx>
        <w:trPr>
          <w:trHeight w:val="720" w:hRule="atLeast"/>
        </w:trPr>
        <w:tc>
          <w:tcPr>
            <w:tcW w:w="77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病毒性病害</w:t>
            </w:r>
          </w:p>
        </w:tc>
        <w:tc>
          <w:tcPr>
            <w:tcW w:w="9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大麦黄花叶病</w:t>
            </w:r>
          </w:p>
        </w:tc>
        <w:tc>
          <w:tcPr>
            <w:tcW w:w="25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0.5%氨基寡糖素水剂</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100～150ml/亩</w:t>
            </w: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r>
      <w:tr>
        <w:tblPrEx>
          <w:tblCellMar>
            <w:top w:w="0" w:type="dxa"/>
            <w:left w:w="0" w:type="dxa"/>
            <w:bottom w:w="0" w:type="dxa"/>
            <w:right w:w="0" w:type="dxa"/>
          </w:tblCellMar>
        </w:tblPrEx>
        <w:trPr>
          <w:trHeight w:val="720" w:hRule="atLeast"/>
        </w:trPr>
        <w:tc>
          <w:tcPr>
            <w:tcW w:w="77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5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8%宁南霉素水剂</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42～63mL/亩</w:t>
            </w: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r>
      <w:tr>
        <w:tblPrEx>
          <w:tblCellMar>
            <w:top w:w="0" w:type="dxa"/>
            <w:left w:w="0" w:type="dxa"/>
            <w:bottom w:w="0" w:type="dxa"/>
            <w:right w:w="0" w:type="dxa"/>
          </w:tblCellMar>
        </w:tblPrEx>
        <w:trPr>
          <w:trHeight w:val="480" w:hRule="atLeast"/>
        </w:trPr>
        <w:tc>
          <w:tcPr>
            <w:tcW w:w="77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5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2%香菇多糖水剂</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25～42ml/亩</w:t>
            </w: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r>
      <w:tr>
        <w:tblPrEx>
          <w:tblCellMar>
            <w:top w:w="0" w:type="dxa"/>
            <w:left w:w="0" w:type="dxa"/>
            <w:bottom w:w="0" w:type="dxa"/>
            <w:right w:w="0" w:type="dxa"/>
          </w:tblCellMar>
        </w:tblPrEx>
        <w:trPr>
          <w:trHeight w:val="720" w:hRule="atLeast"/>
        </w:trPr>
        <w:tc>
          <w:tcPr>
            <w:tcW w:w="77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5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20%盐酸吗啉胍可湿性粉剂</w:t>
            </w:r>
          </w:p>
        </w:tc>
        <w:tc>
          <w:tcPr>
            <w:tcW w:w="1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125～166.7mL/亩</w:t>
            </w: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r>
    </w:tbl>
    <w:p>
      <w:pPr>
        <w:jc w:val="center"/>
        <w:rPr>
          <w:rFonts w:hint="eastAsia" w:ascii="宋体" w:hAnsi="宋体" w:cs="宋体"/>
          <w:color w:val="000000"/>
          <w:sz w:val="18"/>
          <w:szCs w:val="18"/>
        </w:rPr>
      </w:pPr>
    </w:p>
    <w:p>
      <w:pPr>
        <w:spacing w:before="156" w:beforeLines="50" w:after="156" w:afterLines="50"/>
        <w:jc w:val="center"/>
        <w:rPr>
          <w:rFonts w:hint="eastAsia" w:ascii="黑体" w:hAnsi="黑体" w:eastAsia="黑体" w:cs="黑体"/>
          <w:sz w:val="21"/>
          <w:szCs w:val="21"/>
        </w:rPr>
      </w:pPr>
      <w:r>
        <w:rPr>
          <w:rFonts w:hint="eastAsia" w:ascii="黑体" w:hAnsi="黑体" w:eastAsia="黑体" w:cs="黑体"/>
          <w:sz w:val="21"/>
          <w:szCs w:val="21"/>
        </w:rPr>
        <w:t xml:space="preserve">表3  </w:t>
      </w:r>
      <w:r>
        <w:rPr>
          <w:rFonts w:hint="eastAsia" w:ascii="黑体" w:hAnsi="黑体" w:eastAsia="黑体" w:cs="黑体"/>
          <w:sz w:val="21"/>
          <w:szCs w:val="21"/>
          <w:lang w:eastAsia="zh-CN"/>
        </w:rPr>
        <w:t>大麦</w:t>
      </w:r>
      <w:r>
        <w:rPr>
          <w:rFonts w:hint="eastAsia" w:ascii="黑体" w:hAnsi="黑体" w:eastAsia="黑体" w:cs="黑体"/>
          <w:sz w:val="21"/>
          <w:szCs w:val="21"/>
        </w:rPr>
        <w:t>主要虫害防治药剂及限量值</w:t>
      </w:r>
    </w:p>
    <w:tbl>
      <w:tblPr>
        <w:tblStyle w:val="6"/>
        <w:tblW w:w="0" w:type="auto"/>
        <w:tblInd w:w="0" w:type="dxa"/>
        <w:tblLayout w:type="fixed"/>
        <w:tblCellMar>
          <w:top w:w="0" w:type="dxa"/>
          <w:left w:w="0" w:type="dxa"/>
          <w:bottom w:w="0" w:type="dxa"/>
          <w:right w:w="0" w:type="dxa"/>
        </w:tblCellMar>
      </w:tblPr>
      <w:tblGrid>
        <w:gridCol w:w="780"/>
        <w:gridCol w:w="931"/>
        <w:gridCol w:w="2623"/>
        <w:gridCol w:w="1507"/>
        <w:gridCol w:w="681"/>
        <w:gridCol w:w="982"/>
        <w:gridCol w:w="832"/>
      </w:tblGrid>
      <w:tr>
        <w:tblPrEx>
          <w:tblCellMar>
            <w:top w:w="0" w:type="dxa"/>
            <w:left w:w="0" w:type="dxa"/>
            <w:bottom w:w="0" w:type="dxa"/>
            <w:right w:w="0" w:type="dxa"/>
          </w:tblCellMar>
        </w:tblPrEx>
        <w:trPr>
          <w:trHeight w:val="240" w:hRule="atLeast"/>
        </w:trPr>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虫害类型</w:t>
            </w:r>
          </w:p>
        </w:tc>
        <w:tc>
          <w:tcPr>
            <w:tcW w:w="9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虫害名称</w:t>
            </w:r>
          </w:p>
        </w:tc>
        <w:tc>
          <w:tcPr>
            <w:tcW w:w="2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防治药剂推荐</w:t>
            </w:r>
          </w:p>
        </w:tc>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限用量</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使用方法</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最多使用次数</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安全间隔期</w:t>
            </w:r>
          </w:p>
        </w:tc>
      </w:tr>
      <w:tr>
        <w:tblPrEx>
          <w:tblCellMar>
            <w:top w:w="0" w:type="dxa"/>
            <w:left w:w="0" w:type="dxa"/>
            <w:bottom w:w="0" w:type="dxa"/>
            <w:right w:w="0" w:type="dxa"/>
          </w:tblCellMar>
        </w:tblPrEx>
        <w:trPr>
          <w:trHeight w:val="720" w:hRule="atLeast"/>
        </w:trPr>
        <w:tc>
          <w:tcPr>
            <w:tcW w:w="78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半翅目</w:t>
            </w:r>
          </w:p>
        </w:tc>
        <w:tc>
          <w:tcPr>
            <w:tcW w:w="93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麦双尾蚜、黍蚜、麦长管蚜、麦二叉蚜</w:t>
            </w:r>
          </w:p>
        </w:tc>
        <w:tc>
          <w:tcPr>
            <w:tcW w:w="2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80亿孢子/mL金龟子绿僵菌CQMa421可分散油悬浮剂</w:t>
            </w:r>
          </w:p>
        </w:tc>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60～90mL/亩</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50%抗蚜威水分散粒剂</w:t>
            </w:r>
          </w:p>
        </w:tc>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16～22g/亩</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0.5%苦参碱水剂</w:t>
            </w:r>
          </w:p>
        </w:tc>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60～80ml/亩</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r>
      <w:tr>
        <w:tblPrEx>
          <w:tblCellMar>
            <w:top w:w="0" w:type="dxa"/>
            <w:left w:w="0" w:type="dxa"/>
            <w:bottom w:w="0" w:type="dxa"/>
            <w:right w:w="0" w:type="dxa"/>
          </w:tblCellMar>
        </w:tblPrEx>
        <w:trPr>
          <w:trHeight w:val="72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0.5%藜芦碱可溶液剂</w:t>
            </w:r>
          </w:p>
        </w:tc>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75～100ml/亩</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1.7%阿维·吡虫啉微乳剂</w:t>
            </w:r>
          </w:p>
        </w:tc>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40～50ml/亩</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r>
      <w:tr>
        <w:tblPrEx>
          <w:tblCellMar>
            <w:top w:w="0" w:type="dxa"/>
            <w:left w:w="0" w:type="dxa"/>
            <w:bottom w:w="0" w:type="dxa"/>
            <w:right w:w="0"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25%吡蚜酮可湿性粉剂</w:t>
            </w:r>
          </w:p>
        </w:tc>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12～20g/亩</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r>
      <w:tr>
        <w:tblPrEx>
          <w:tblCellMar>
            <w:top w:w="0" w:type="dxa"/>
            <w:left w:w="0" w:type="dxa"/>
            <w:bottom w:w="0" w:type="dxa"/>
            <w:right w:w="0" w:type="dxa"/>
          </w:tblCellMar>
        </w:tblPrEx>
        <w:trPr>
          <w:trHeight w:val="480" w:hRule="atLeast"/>
        </w:trPr>
        <w:tc>
          <w:tcPr>
            <w:tcW w:w="7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2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5%啶虫脒乳油</w:t>
            </w:r>
          </w:p>
        </w:tc>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18～24ml/亩</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喷雾</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r>
    </w:tbl>
    <w:p>
      <w:pPr>
        <w:ind w:firstLine="420" w:firstLineChars="200"/>
        <w:rPr>
          <w:rFonts w:hint="eastAsia" w:ascii="宋体" w:hAnsi="宋体" w:cs="宋体"/>
          <w:szCs w:val="21"/>
        </w:rPr>
      </w:pPr>
    </w:p>
    <w:p/>
    <w:p/>
    <w:p/>
    <w:p/>
    <w:p/>
    <w:p/>
    <w:p/>
    <w:p/>
    <w:p/>
    <w:p/>
    <w:p/>
    <w:p/>
    <w:p/>
    <w:p/>
    <w:p/>
    <w:p/>
    <w:p/>
    <w:p/>
    <w:p/>
    <w:p/>
    <w:p/>
    <w:p/>
    <w:p/>
    <w:p/>
    <w:p/>
    <w:p/>
    <w:p/>
    <w:p/>
    <w:p/>
    <w:p>
      <w:pPr>
        <w:pStyle w:val="35"/>
        <w:rPr>
          <w:rFonts w:hint="eastAsia"/>
        </w:rPr>
      </w:pPr>
      <w:r>
        <w:br w:type="textWrapping"/>
      </w:r>
      <w:r>
        <w:rPr>
          <w:rFonts w:hint="eastAsia"/>
        </w:rPr>
        <w:t>（资料性附录）</w:t>
      </w:r>
      <w:r>
        <w:br w:type="textWrapping"/>
      </w:r>
      <w:r>
        <w:rPr>
          <w:rFonts w:hint="eastAsia"/>
        </w:rPr>
        <w:t>国家禁止和限制使用的农药</w:t>
      </w:r>
    </w:p>
    <w:p>
      <w:pPr>
        <w:pStyle w:val="24"/>
        <w:spacing w:after="156" w:afterLines="50"/>
        <w:ind w:firstLine="0" w:firstLineChars="0"/>
        <w:rPr>
          <w:rFonts w:hint="eastAsia" w:ascii="黑体" w:hAnsi="黑体" w:eastAsia="黑体" w:cs="黑体"/>
        </w:rPr>
      </w:pPr>
      <w:r>
        <w:rPr>
          <w:rFonts w:hint="eastAsia" w:ascii="黑体" w:hAnsi="黑体" w:eastAsia="黑体" w:cs="黑体"/>
          <w:lang w:val="en-US" w:eastAsia="zh-CN"/>
        </w:rPr>
        <w:t>A</w:t>
      </w:r>
      <w:r>
        <w:rPr>
          <w:rFonts w:hint="eastAsia" w:ascii="黑体" w:hAnsi="黑体" w:eastAsia="黑体" w:cs="黑体"/>
        </w:rPr>
        <w:t xml:space="preserve">.1 </w:t>
      </w:r>
      <w:r>
        <w:rPr>
          <w:rFonts w:hint="eastAsia" w:ascii="黑体" w:hAnsi="黑体" w:eastAsia="黑体" w:cs="黑体"/>
          <w:lang w:val="en-US" w:eastAsia="zh-CN"/>
        </w:rPr>
        <w:t xml:space="preserve"> </w:t>
      </w:r>
      <w:r>
        <w:rPr>
          <w:rFonts w:hint="eastAsia" w:ascii="黑体" w:hAnsi="黑体" w:eastAsia="黑体" w:cs="黑体"/>
        </w:rPr>
        <w:t>禁止（停止）使用的农药</w:t>
      </w:r>
    </w:p>
    <w:p>
      <w:pPr>
        <w:pStyle w:val="24"/>
        <w:rPr>
          <w:szCs w:val="22"/>
        </w:rPr>
      </w:pPr>
      <w:r>
        <w:rPr>
          <w:rFonts w:hint="eastAsia"/>
          <w:szCs w:val="22"/>
        </w:rPr>
        <w:t>六六六、滴滴涕、毒杀芬、二溴氯丙烷、杀虫脒、二溴乙烷、除草醚、艾氏剂、狄氏剂、汞制剂、砷类、铅类、敌枯双、氟乙酰胺、甘氟、毒鼠强、氟乙酸钠、毒鼠硅、甲胺磷、对硫磷、甲基对硫磷、久效磷、磷胺、苯线磷、地虫硫磷、甲基硫环磷、磷化钙、磷化镁、磷化锌、硫线磷、蝇毒磷、治螟磷、特丁硫磷、氯磺隆、胺苯磺隆、甲磺隆、福美胂、福美甲胂、三氯杀螨醇、林丹、硫丹、溴甲烷、氟虫胺、杀扑磷、百草枯、</w:t>
      </w:r>
      <w:r>
        <w:rPr>
          <w:szCs w:val="22"/>
        </w:rPr>
        <w:t>2,4</w:t>
      </w:r>
      <w:r>
        <w:rPr>
          <w:rFonts w:hint="eastAsia"/>
          <w:szCs w:val="22"/>
        </w:rPr>
        <w:t>～</w:t>
      </w:r>
      <w:r>
        <w:rPr>
          <w:szCs w:val="22"/>
        </w:rPr>
        <w:t>滴丁酯</w:t>
      </w:r>
      <w:r>
        <w:rPr>
          <w:rFonts w:hint="eastAsia"/>
          <w:szCs w:val="22"/>
        </w:rPr>
        <w:t>、</w:t>
      </w:r>
      <w:r>
        <w:rPr>
          <w:szCs w:val="22"/>
        </w:rPr>
        <w:t> 氟虫胺</w:t>
      </w:r>
      <w:r>
        <w:rPr>
          <w:rFonts w:hint="eastAsia"/>
          <w:szCs w:val="22"/>
        </w:rPr>
        <w:t>、</w:t>
      </w:r>
      <w:r>
        <w:rPr>
          <w:szCs w:val="22"/>
        </w:rPr>
        <w:t>百草枯可溶胶剂</w:t>
      </w:r>
      <w:r>
        <w:rPr>
          <w:rFonts w:hint="eastAsia"/>
          <w:szCs w:val="22"/>
        </w:rPr>
        <w:t>。</w:t>
      </w:r>
    </w:p>
    <w:p>
      <w:pPr>
        <w:pStyle w:val="24"/>
        <w:ind w:firstLine="0" w:firstLineChars="0"/>
        <w:rPr>
          <w:szCs w:val="22"/>
        </w:rPr>
      </w:pPr>
      <w:r>
        <w:rPr>
          <w:rFonts w:ascii="--系统字体--" w:hAnsi="--系统字体--" w:eastAsia="--系统字体--" w:cs="--系统字体--"/>
          <w:color w:val="000000"/>
          <w:sz w:val="24"/>
          <w:szCs w:val="24"/>
        </w:rPr>
        <w:t> </w:t>
      </w:r>
      <w:r>
        <w:rPr>
          <w:szCs w:val="22"/>
        </w:rPr>
        <w:t> 注：2,4</w:t>
      </w:r>
      <w:r>
        <w:rPr>
          <w:rFonts w:hint="eastAsia"/>
          <w:szCs w:val="22"/>
        </w:rPr>
        <w:t>～</w:t>
      </w:r>
      <w:r>
        <w:rPr>
          <w:szCs w:val="22"/>
        </w:rPr>
        <w:t>滴丁酯自2023年1月29日起禁止使用。溴甲烷可用于“检疫熏蒸处理”。杀扑磷已无制剂登记。 </w:t>
      </w:r>
    </w:p>
    <w:p>
      <w:pPr>
        <w:pStyle w:val="24"/>
        <w:keepNext w:val="0"/>
        <w:keepLines w:val="0"/>
        <w:pageBreakBefore w:val="0"/>
        <w:widowControl/>
        <w:kinsoku/>
        <w:wordWrap/>
        <w:overflowPunct/>
        <w:topLinePunct w:val="0"/>
        <w:autoSpaceDE w:val="0"/>
        <w:autoSpaceDN w:val="0"/>
        <w:bidi w:val="0"/>
        <w:adjustRightInd/>
        <w:snapToGrid/>
        <w:spacing w:before="157" w:beforeLines="50" w:after="156" w:afterLines="50"/>
        <w:ind w:firstLine="0" w:firstLineChars="0"/>
        <w:textAlignment w:val="auto"/>
        <w:rPr>
          <w:rFonts w:hint="eastAsia" w:ascii="黑体" w:hAnsi="黑体" w:eastAsia="黑体" w:cs="黑体"/>
          <w:szCs w:val="22"/>
        </w:rPr>
      </w:pPr>
      <w:r>
        <w:rPr>
          <w:rFonts w:hint="eastAsia" w:ascii="黑体" w:hAnsi="黑体" w:eastAsia="黑体" w:cs="黑体"/>
          <w:szCs w:val="22"/>
          <w:lang w:val="en-US" w:eastAsia="zh-CN"/>
        </w:rPr>
        <w:t>A</w:t>
      </w:r>
      <w:r>
        <w:rPr>
          <w:rFonts w:hint="eastAsia" w:ascii="黑体" w:hAnsi="黑体" w:eastAsia="黑体" w:cs="黑体"/>
          <w:szCs w:val="22"/>
        </w:rPr>
        <w:t xml:space="preserve">.2 </w:t>
      </w:r>
      <w:r>
        <w:rPr>
          <w:rFonts w:hint="eastAsia" w:ascii="黑体" w:hAnsi="黑体" w:eastAsia="黑体" w:cs="黑体"/>
          <w:szCs w:val="22"/>
          <w:lang w:val="en-US" w:eastAsia="zh-CN"/>
        </w:rPr>
        <w:t xml:space="preserve"> </w:t>
      </w:r>
      <w:r>
        <w:rPr>
          <w:rFonts w:hint="eastAsia" w:ascii="黑体" w:hAnsi="黑体" w:eastAsia="黑体" w:cs="黑体"/>
          <w:szCs w:val="22"/>
        </w:rPr>
        <w:t>限制使用的农药</w:t>
      </w:r>
    </w:p>
    <w:p>
      <w:pPr>
        <w:pStyle w:val="24"/>
        <w:spacing w:before="156" w:beforeLines="50" w:after="156" w:afterLines="50"/>
        <w:ind w:firstLine="0" w:firstLineChars="0"/>
        <w:jc w:val="center"/>
        <w:rPr>
          <w:rFonts w:hint="eastAsia" w:ascii="黑体" w:hAnsi="黑体" w:eastAsia="黑体" w:cs="黑体"/>
          <w:szCs w:val="22"/>
        </w:rPr>
      </w:pPr>
      <w:r>
        <w:rPr>
          <w:rFonts w:hint="eastAsia" w:ascii="黑体" w:hAnsi="黑体" w:eastAsia="黑体" w:cs="黑体"/>
          <w:szCs w:val="22"/>
        </w:rPr>
        <w:t>表</w:t>
      </w:r>
      <w:r>
        <w:rPr>
          <w:rFonts w:hint="eastAsia" w:ascii="黑体" w:hAnsi="黑体" w:eastAsia="黑体" w:cs="黑体"/>
          <w:szCs w:val="22"/>
          <w:lang w:val="en-US" w:eastAsia="zh-CN"/>
        </w:rPr>
        <w:t>A</w:t>
      </w:r>
      <w:r>
        <w:rPr>
          <w:rFonts w:hint="eastAsia" w:ascii="黑体" w:hAnsi="黑体" w:eastAsia="黑体" w:cs="黑体"/>
          <w:szCs w:val="22"/>
        </w:rPr>
        <w:t>.1</w:t>
      </w:r>
      <w:r>
        <w:rPr>
          <w:rFonts w:hint="eastAsia" w:ascii="黑体" w:hAnsi="黑体" w:eastAsia="黑体" w:cs="黑体"/>
          <w:szCs w:val="22"/>
          <w:lang w:val="en-US" w:eastAsia="zh-CN"/>
        </w:rPr>
        <w:t xml:space="preserve">  </w:t>
      </w:r>
      <w:r>
        <w:rPr>
          <w:rFonts w:hint="eastAsia" w:ascii="黑体" w:hAnsi="黑体" w:eastAsia="黑体" w:cs="黑体"/>
          <w:szCs w:val="22"/>
        </w:rPr>
        <w:t>限制使用的农药</w:t>
      </w:r>
    </w:p>
    <w:tbl>
      <w:tblPr>
        <w:tblStyle w:val="6"/>
        <w:tblW w:w="9013" w:type="dxa"/>
        <w:tblInd w:w="-33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873"/>
        <w:gridCol w:w="51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4" w:hRule="atLeast"/>
        </w:trPr>
        <w:tc>
          <w:tcPr>
            <w:tcW w:w="387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甲拌磷、甲基异柳磷、克百威、水胺硫磷、氧乐果、灭多威、涕灭威、灭线磷 </w:t>
            </w:r>
          </w:p>
        </w:tc>
        <w:tc>
          <w:tcPr>
            <w:tcW w:w="5140"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禁止在蔬菜、瓜果、茶叶、菌类、中草药材</w:t>
            </w:r>
            <w:r>
              <w:rPr>
                <w:rFonts w:hint="eastAsia" w:ascii="宋体" w:hAnsi="宋体" w:cs="宋体"/>
                <w:sz w:val="18"/>
                <w:szCs w:val="18"/>
              </w:rPr>
              <w:t>和</w:t>
            </w:r>
            <w:r>
              <w:rPr>
                <w:rFonts w:ascii="宋体" w:hAnsi="宋体" w:cs="宋体"/>
                <w:sz w:val="18"/>
                <w:szCs w:val="18"/>
              </w:rPr>
              <w:t>甘蔗作物上使用，禁止用于防治卫生害虫，禁止用于水生植物的病虫害防治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387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内吸磷、硫环磷、氯唑磷 </w:t>
            </w:r>
          </w:p>
        </w:tc>
        <w:tc>
          <w:tcPr>
            <w:tcW w:w="5140"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禁止在蔬菜、瓜果、茶叶、中草药材上使用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387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乙酰甲胺磷、丁硫克百威、乐果 </w:t>
            </w:r>
          </w:p>
        </w:tc>
        <w:tc>
          <w:tcPr>
            <w:tcW w:w="5140"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ind w:firstLine="360" w:firstLineChars="200"/>
              <w:jc w:val="both"/>
              <w:rPr>
                <w:rFonts w:ascii="宋体" w:hAnsi="宋体" w:cs="宋体"/>
                <w:sz w:val="18"/>
                <w:szCs w:val="18"/>
              </w:rPr>
            </w:pPr>
            <w:r>
              <w:rPr>
                <w:rFonts w:ascii="宋体" w:hAnsi="宋体" w:cs="宋体"/>
                <w:sz w:val="18"/>
                <w:szCs w:val="18"/>
              </w:rPr>
              <w:t>禁止在蔬菜、瓜果、茶叶、菌类和中草药材上使用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387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毒死蜱、三唑磷 </w:t>
            </w:r>
          </w:p>
        </w:tc>
        <w:tc>
          <w:tcPr>
            <w:tcW w:w="5140"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禁止在蔬菜上使用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387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丁酰肼（比久） </w:t>
            </w:r>
          </w:p>
        </w:tc>
        <w:tc>
          <w:tcPr>
            <w:tcW w:w="5140"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禁止在花生上使用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387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氰戊菊酯 </w:t>
            </w:r>
          </w:p>
        </w:tc>
        <w:tc>
          <w:tcPr>
            <w:tcW w:w="5140"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禁止在茶叶上使用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387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氟虫腈 </w:t>
            </w:r>
          </w:p>
        </w:tc>
        <w:tc>
          <w:tcPr>
            <w:tcW w:w="5140"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禁止在所有农作物上使用（玉米等部分旱田种子包衣除外）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trPr>
        <w:tc>
          <w:tcPr>
            <w:tcW w:w="3873"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氟苯虫酰胺 </w:t>
            </w:r>
          </w:p>
        </w:tc>
        <w:tc>
          <w:tcPr>
            <w:tcW w:w="5140" w:type="dxa"/>
            <w:tcBorders>
              <w:top w:val="outset" w:color="auto" w:sz="6" w:space="0"/>
              <w:left w:val="outset" w:color="auto" w:sz="6" w:space="0"/>
              <w:bottom w:val="outset" w:color="auto" w:sz="6" w:space="0"/>
              <w:right w:val="outset" w:color="auto" w:sz="6" w:space="0"/>
            </w:tcBorders>
            <w:noWrap w:val="0"/>
            <w:vAlign w:val="center"/>
          </w:tcPr>
          <w:p>
            <w:pPr>
              <w:pStyle w:val="5"/>
              <w:widowControl/>
              <w:spacing w:before="210" w:beforeAutospacing="0" w:after="210" w:afterAutospacing="0" w:line="30" w:lineRule="atLeast"/>
              <w:jc w:val="both"/>
              <w:rPr>
                <w:rFonts w:ascii="宋体" w:hAnsi="宋体" w:cs="宋体"/>
                <w:sz w:val="18"/>
                <w:szCs w:val="18"/>
              </w:rPr>
            </w:pPr>
            <w:r>
              <w:rPr>
                <w:rFonts w:ascii="宋体" w:hAnsi="宋体" w:cs="宋体"/>
                <w:sz w:val="18"/>
                <w:szCs w:val="18"/>
              </w:rPr>
              <w:t>　　禁止在水稻上使用 </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eastAsia="黑体" w:cs="Times New Roman"/>
          <w:sz w:val="21"/>
          <w:szCs w:val="21"/>
          <w:lang w:val="en-US" w:eastAsia="zh-CN" w:bidi="ar-SA"/>
        </w:rPr>
      </w:pPr>
    </w:p>
    <w:p>
      <w:pPr>
        <w:pStyle w:val="36"/>
        <w:rPr>
          <w:rFonts w:hint="eastAsia"/>
        </w:rPr>
      </w:pPr>
      <w:r>
        <w:t>_________________________________</w:t>
      </w:r>
    </w:p>
    <w:p>
      <w:pPr>
        <w:pStyle w:val="24"/>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ascii="黑体" w:eastAsia="黑体" w:cs="Times New Roman"/>
          <w:sz w:val="21"/>
          <w:szCs w:val="21"/>
          <w:lang w:val="en-US" w:eastAsia="zh-CN" w:bidi="ar-SA"/>
        </w:rPr>
      </w:pPr>
    </w:p>
    <w:p>
      <w:pPr>
        <w:ind w:firstLine="420" w:firstLineChars="200"/>
        <w:rPr>
          <w:rFonts w:hint="default"/>
          <w:lang w:val="en-US" w:eastAsia="zh-CN"/>
        </w:rPr>
      </w:pPr>
    </w:p>
    <w:p>
      <w:pPr>
        <w:rPr>
          <w:rFonts w:hint="default"/>
          <w:lang w:val="en-US" w:eastAsia="zh-CN"/>
        </w:rPr>
      </w:pPr>
    </w:p>
    <w:p/>
    <w:sectPr>
      <w:footerReference r:id="rId5" w:type="default"/>
      <w:pgSz w:w="11906" w:h="16838"/>
      <w:pgMar w:top="567" w:right="1134" w:bottom="1134" w:left="1417" w:header="1417"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楷体_GB2312">
    <w:altName w:val="楷体"/>
    <w:panose1 w:val="02010609030101010101"/>
    <w:charset w:val="86"/>
    <w:family w:val="modern"/>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系统字体--">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t>Q/YTZ 0</w:t>
    </w:r>
    <w:r>
      <w:rPr>
        <w:rFonts w:hint="eastAsia"/>
        <w:lang w:val="en-US" w:eastAsia="zh-CN"/>
      </w:rPr>
      <w:t>25</w:t>
    </w:r>
    <w:r>
      <w:t>.2</w:t>
    </w:r>
    <w:r>
      <w:rPr>
        <w:rFonts w:hint="eastAsia"/>
        <w:lang w:eastAsia="zh-CN"/>
      </w:rPr>
      <w:t>—</w:t>
    </w:r>
    <w:r>
      <w:t>202</w:t>
    </w:r>
    <w:r>
      <w:rPr>
        <w:rFonts w:hint="eastAsia"/>
        <w:lang w:val="en-US" w:eastAsia="zh-CN"/>
      </w:rPr>
      <w:t>2</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tentative="0">
      <w:start w:val="1"/>
      <w:numFmt w:val="upperLetter"/>
      <w:pStyle w:val="3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51A83"/>
    <w:rsid w:val="31A5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00" w:after="200"/>
      <w:outlineLvl w:val="1"/>
    </w:pPr>
    <w:rPr>
      <w:rFonts w:ascii="黑体" w:hAnsi="黑体" w:eastAsia="黑体"/>
      <w:bCs/>
      <w:szCs w:val="32"/>
      <w:shd w:val="clear" w:color="auto" w:fill="FFFFFF"/>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其他标准标志"/>
    <w:basedOn w:val="9"/>
    <w:qFormat/>
    <w:uiPriority w:val="0"/>
    <w:pPr>
      <w:framePr w:w="6101" w:vAnchor="page" w:hAnchor="page" w:x="4673" w:y="942"/>
    </w:pPr>
    <w:rPr>
      <w:w w:val="130"/>
    </w:rPr>
  </w:style>
  <w:style w:type="paragraph" w:customStyle="1" w:styleId="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
    <w:name w:val="封面标准文稿类别"/>
    <w:basedOn w:val="15"/>
    <w:qFormat/>
    <w:uiPriority w:val="0"/>
    <w:pPr>
      <w:spacing w:after="160" w:line="240" w:lineRule="auto"/>
    </w:pPr>
    <w:rPr>
      <w:sz w:val="24"/>
    </w:rPr>
  </w:style>
  <w:style w:type="paragraph" w:customStyle="1" w:styleId="15">
    <w:name w:val="封面一致性程度标识"/>
    <w:basedOn w:val="16"/>
    <w:qFormat/>
    <w:uiPriority w:val="0"/>
    <w:pPr>
      <w:spacing w:before="440"/>
    </w:pPr>
    <w:rPr>
      <w:rFonts w:ascii="宋体" w:eastAsia="宋体"/>
    </w:rPr>
  </w:style>
  <w:style w:type="paragraph" w:customStyle="1" w:styleId="16">
    <w:name w:val="封面标准英文名称"/>
    <w:basedOn w:val="13"/>
    <w:qFormat/>
    <w:uiPriority w:val="0"/>
    <w:pPr>
      <w:spacing w:before="370" w:line="400" w:lineRule="exact"/>
    </w:pPr>
    <w:rPr>
      <w:rFonts w:ascii="Times New Roman"/>
      <w:sz w:val="28"/>
      <w:szCs w:val="28"/>
    </w:rPr>
  </w:style>
  <w:style w:type="paragraph" w:customStyle="1" w:styleId="17">
    <w:name w:val="封面标准文稿编辑信息"/>
    <w:basedOn w:val="14"/>
    <w:qFormat/>
    <w:uiPriority w:val="0"/>
    <w:pPr>
      <w:spacing w:before="180" w:line="180" w:lineRule="exact"/>
    </w:pPr>
    <w:rPr>
      <w:sz w:val="21"/>
    </w:rPr>
  </w:style>
  <w:style w:type="paragraph" w:customStyle="1" w:styleId="18">
    <w:name w:val="其他发布日期"/>
    <w:basedOn w:val="19"/>
    <w:qFormat/>
    <w:uiPriority w:val="0"/>
    <w:pPr>
      <w:framePr w:vAnchor="page" w:hAnchor="page" w:x="1419"/>
    </w:pPr>
  </w:style>
  <w:style w:type="paragraph" w:customStyle="1" w:styleId="1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0">
    <w:name w:val="其他实施日期"/>
    <w:basedOn w:val="21"/>
    <w:qFormat/>
    <w:uiPriority w:val="0"/>
  </w:style>
  <w:style w:type="paragraph" w:customStyle="1" w:styleId="21">
    <w:name w:val="实施日期"/>
    <w:basedOn w:val="19"/>
    <w:qFormat/>
    <w:uiPriority w:val="0"/>
    <w:pPr>
      <w:framePr w:vAnchor="page" w:hAnchor="page"/>
      <w:jc w:val="right"/>
    </w:pPr>
  </w:style>
  <w:style w:type="paragraph" w:customStyle="1" w:styleId="22">
    <w:name w:val="其他发布部门"/>
    <w:basedOn w:val="23"/>
    <w:qFormat/>
    <w:uiPriority w:val="0"/>
    <w:pPr>
      <w:framePr w:y="15310"/>
      <w:spacing w:line="0" w:lineRule="atLeast"/>
    </w:pPr>
    <w:rPr>
      <w:rFonts w:ascii="黑体" w:eastAsia="黑体"/>
      <w:b w:val="0"/>
    </w:rPr>
  </w:style>
  <w:style w:type="paragraph" w:customStyle="1" w:styleId="23">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5">
    <w:name w:val="发布"/>
    <w:basedOn w:val="7"/>
    <w:qFormat/>
    <w:uiPriority w:val="0"/>
    <w:rPr>
      <w:rFonts w:ascii="黑体" w:eastAsia="黑体"/>
      <w:spacing w:val="85"/>
      <w:w w:val="100"/>
      <w:position w:val="3"/>
      <w:sz w:val="28"/>
      <w:szCs w:val="28"/>
    </w:rPr>
  </w:style>
  <w:style w:type="paragraph" w:customStyle="1" w:styleId="2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7">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8">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9">
    <w:name w:val="章标题"/>
    <w:next w:val="24"/>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0">
    <w:name w:val="样式5"/>
    <w:basedOn w:val="1"/>
    <w:qFormat/>
    <w:uiPriority w:val="0"/>
    <w:rPr>
      <w:rFonts w:eastAsia="楷体_GB2312"/>
      <w:kern w:val="0"/>
      <w:sz w:val="24"/>
      <w:szCs w:val="20"/>
    </w:rPr>
  </w:style>
  <w:style w:type="paragraph" w:customStyle="1" w:styleId="31">
    <w:name w:val="样式6"/>
    <w:basedOn w:val="1"/>
    <w:qFormat/>
    <w:uiPriority w:val="0"/>
    <w:pPr>
      <w:spacing w:line="440" w:lineRule="exact"/>
    </w:pPr>
    <w:rPr>
      <w:rFonts w:eastAsia="方正宋三简体"/>
      <w:kern w:val="0"/>
      <w:sz w:val="24"/>
      <w:szCs w:val="20"/>
    </w:rPr>
  </w:style>
  <w:style w:type="paragraph" w:customStyle="1" w:styleId="32">
    <w:name w:val="样式4"/>
    <w:basedOn w:val="1"/>
    <w:qFormat/>
    <w:uiPriority w:val="0"/>
    <w:rPr>
      <w:rFonts w:eastAsia="方正宋黑简体"/>
      <w:kern w:val="0"/>
      <w:sz w:val="24"/>
      <w:szCs w:val="20"/>
    </w:rPr>
  </w:style>
  <w:style w:type="paragraph" w:customStyle="1" w:styleId="33">
    <w:name w:val="二级条标题"/>
    <w:basedOn w:val="34"/>
    <w:next w:val="24"/>
    <w:qFormat/>
    <w:uiPriority w:val="0"/>
    <w:pPr>
      <w:numPr>
        <w:ilvl w:val="2"/>
        <w:numId w:val="1"/>
      </w:numPr>
      <w:spacing w:before="50" w:after="50"/>
      <w:outlineLvl w:val="3"/>
    </w:pPr>
  </w:style>
  <w:style w:type="paragraph" w:customStyle="1" w:styleId="34">
    <w:name w:val="一级条标题"/>
    <w:next w:val="24"/>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5">
    <w:name w:val="附录标识"/>
    <w:basedOn w:val="1"/>
    <w:next w:val="24"/>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36">
    <w:name w:val="终结线"/>
    <w:basedOn w:val="1"/>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2021-12-30T01:18:00Z</dcterms:created>
  <dc:creator>仲夏夜之梦</dc:creator>
  <cp:lastModifiedBy>仲夏夜之梦</cp:lastModifiedBy>
  <dcterms:modified xsi:type="dcterms:W3CDTF">2021-12-30T01:32:23Z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79A64DF9F3B64B419B060AEDD3533349</vt:lpwstr>
  </property>
</Properties>
</file>