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8"/>
        <w:framePr w:w="9356"/>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9"/>
        <w:rPr>
          <w:rFonts w:hAnsi="黑体"/>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24</w:t>
      </w:r>
      <w:r>
        <w:rPr>
          <w:rFonts w:hAnsi="黑体"/>
        </w:rPr>
        <w:t>.5</w:t>
      </w:r>
      <w:r>
        <w:rPr>
          <w:rFonts w:hAnsi="黑体"/>
        </w:rPr>
        <w:fldChar w:fldCharType="end"/>
      </w:r>
      <w:bookmarkEnd w:id="3"/>
      <w:r>
        <w:rPr>
          <w:rFonts w:hAnsi="黑体"/>
        </w:rPr>
        <w:t>—</w:t>
      </w:r>
      <w:bookmarkStart w:id="4"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int="eastAsia" w:hAnsi="黑体"/>
          <w:lang w:val="en-US" w:eastAsia="zh-CN"/>
        </w:rPr>
        <w:t>2</w:t>
      </w:r>
      <w:r>
        <w:rPr>
          <w:rFonts w:hAnsi="黑体"/>
        </w:rPr>
        <w:fldChar w:fldCharType="end"/>
      </w:r>
      <w:bookmarkEnd w:id="4"/>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0"/>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mDy&#10;y9YAAAAIAQAADwAAAAAAAAABACAAAAAiAAAAZHJzL2Rvd25yZXYueG1sUEsBAhQAFAAAAAgAh07i&#10;QJgMvFeyAQAAagMAAA4AAAAAAAAAAQAgAAAAJQEAAGRycy9lMm9Eb2MueG1sUEsFBgAAAAAGAAYA&#10;WQEAAEkFAAAAAA==&#10;">
                      <v:fill on="t" focussize="0,0"/>
                      <v:stroke on="f"/>
                      <v:imagedata o:title=""/>
                      <o:lock v:ext="edit" aspectratio="f"/>
                      <v:textbox>
                        <w:txbxContent>
                          <w:p/>
                        </w:txbxContent>
                      </v:textbox>
                    </v:rect>
                  </w:pict>
                </mc:Fallback>
              </mc:AlternateContent>
            </w:r>
            <w:bookmarkEnd w:id="5"/>
          </w:p>
        </w:tc>
      </w:tr>
    </w:tbl>
    <w:p>
      <w:pPr>
        <w:pStyle w:val="9"/>
        <w:rPr>
          <w:rFonts w:hAnsi="黑体"/>
        </w:rPr>
      </w:pPr>
    </w:p>
    <w:p>
      <w:pPr>
        <w:pStyle w:val="9"/>
        <w:rPr>
          <w:rFonts w:hAnsi="黑体"/>
        </w:rPr>
      </w:pPr>
    </w:p>
    <w:p>
      <w:pPr>
        <w:pStyle w:val="11"/>
      </w:pPr>
      <w:bookmarkStart w:id="6" w:name="StdName"/>
      <w:r>
        <w:rPr>
          <w:color w:val="000000"/>
        </w:rPr>
        <w:fldChar w:fldCharType="begin">
          <w:ffData>
            <w:name w:val="StdName"/>
            <w:enabled/>
            <w:calcOnExit w:val="0"/>
            <w:textInput>
              <w:default w:val="点击此处添加标准名称"/>
            </w:textInput>
          </w:ffData>
        </w:fldChar>
      </w:r>
      <w:r>
        <w:rPr>
          <w:color w:val="000000"/>
        </w:rPr>
        <w:instrText xml:space="preserve"> FORMTEXT </w:instrText>
      </w:r>
      <w:r>
        <w:rPr>
          <w:color w:val="000000"/>
        </w:rPr>
        <w:fldChar w:fldCharType="separate"/>
      </w:r>
      <w:r>
        <w:rPr>
          <w:rFonts w:hint="eastAsia"/>
          <w:color w:val="000000"/>
          <w:lang w:eastAsia="zh-CN"/>
        </w:rPr>
        <w:t>大豆</w:t>
      </w:r>
      <w:r>
        <w:rPr>
          <w:rFonts w:hint="eastAsia"/>
          <w:color w:val="000000"/>
        </w:rPr>
        <w:t xml:space="preserve">                                第5部分：保鲜贮藏</w:t>
      </w:r>
      <w:r>
        <w:rPr>
          <w:color w:val="000000"/>
        </w:rPr>
        <w:fldChar w:fldCharType="end"/>
      </w:r>
      <w:bookmarkEnd w:id="6"/>
    </w:p>
    <w:p>
      <w:pPr>
        <w:pStyle w:val="12"/>
      </w:pPr>
    </w:p>
    <w:p>
      <w:pPr>
        <w:pStyle w:val="13"/>
      </w:pPr>
    </w:p>
    <w:p>
      <w:pPr>
        <w:pStyle w:val="14"/>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7"/>
      <w:r>
        <w:rPr>
          <w:rFonts w:hint="eastAsia" w:ascii="黑体"/>
          <w:lang w:val="en-US" w:eastAsia="zh-CN"/>
        </w:rPr>
        <w:t>2</w:t>
      </w:r>
      <w:r>
        <w:t xml:space="preserve"> </w:t>
      </w:r>
      <w:r>
        <w:rPr>
          <w:rFonts w:ascii="黑体"/>
        </w:rPr>
        <w:t>-</w:t>
      </w:r>
      <w:r>
        <w:t xml:space="preserve"> </w:t>
      </w:r>
      <w:r>
        <w:rPr>
          <w:rFonts w:hint="eastAsia"/>
          <w:lang w:val="en-US" w:eastAsia="zh-CN"/>
        </w:rPr>
        <w:t>1</w:t>
      </w:r>
      <w:r>
        <w:t xml:space="preserve"> </w:t>
      </w:r>
      <w:r>
        <w:rPr>
          <w:rFonts w:ascii="黑体"/>
        </w:rPr>
        <w:t>-</w:t>
      </w:r>
      <w:r>
        <w:t xml:space="preserve"> </w:t>
      </w:r>
      <w:r>
        <w:rPr>
          <w:rFonts w:hint="eastAsia" w:ascii="黑体"/>
          <w:lang w:val="en-US" w:eastAsia="zh-CN"/>
        </w:rPr>
        <w:t>1</w:t>
      </w:r>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KkITfX0AQAA5AMAAA4AAAAAAAAAAQAgAAAAJQEAAGRycy9lMm9Eb2MueG1sUEsF&#10;BgAAAAAGAAYAWQEAAIsFAAAAAA==&#10;">
                <v:fill on="f" focussize="0,0"/>
                <v:stroke color="#000000" joinstyle="round"/>
                <v:imagedata o:title=""/>
                <o:lock v:ext="edit" aspectratio="f"/>
                <w10:anchorlock/>
              </v:line>
            </w:pict>
          </mc:Fallback>
        </mc:AlternateContent>
      </w:r>
    </w:p>
    <w:p>
      <w:pPr>
        <w:pStyle w:val="16"/>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8"/>
      <w:r>
        <w:t xml:space="preserve"> </w:t>
      </w:r>
      <w:r>
        <w:rPr>
          <w:rFonts w:ascii="黑体"/>
        </w:rPr>
        <w:t>-</w:t>
      </w:r>
      <w:r>
        <w:t xml:space="preserve"> </w:t>
      </w:r>
      <w:r>
        <w:rPr>
          <w:rFonts w:hint="eastAsia" w:ascii="黑体"/>
          <w:lang w:val="en-US" w:eastAsia="zh-CN"/>
        </w:rPr>
        <w:t>1</w:t>
      </w:r>
      <w:r>
        <w:t xml:space="preserve"> </w:t>
      </w:r>
      <w:r>
        <w:rPr>
          <w:rFonts w:ascii="黑体"/>
        </w:rPr>
        <w:t>-</w:t>
      </w:r>
      <w:r>
        <w:t xml:space="preserve"> </w:t>
      </w:r>
      <w:r>
        <w:rPr>
          <w:rFonts w:hint="eastAsia" w:ascii="黑体"/>
          <w:lang w:val="en-US" w:eastAsia="zh-CN"/>
        </w:rPr>
        <w:t>15</w:t>
      </w:r>
      <w:r>
        <w:rPr>
          <w:rFonts w:hint="eastAsia"/>
        </w:rPr>
        <w:t>实施</w:t>
      </w:r>
    </w:p>
    <w:p>
      <w:pPr>
        <w:pStyle w:val="18"/>
      </w:pPr>
      <w:bookmarkStart w:id="9"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9"/>
      <w:r>
        <w:rPr>
          <w:rFonts w:hint="eastAsia" w:ascii="MS Mincho" w:hAnsi="MS Mincho" w:eastAsia="MS Mincho" w:cs="MS Mincho"/>
        </w:rPr>
        <w:t>   </w:t>
      </w:r>
      <w:r>
        <w:rPr>
          <w:rStyle w:val="21"/>
          <w:rFonts w:hint="eastAsia"/>
        </w:rPr>
        <w:t>发布</w:t>
      </w:r>
    </w:p>
    <w:p/>
    <w:p/>
    <w:p/>
    <w:p/>
    <w:p>
      <w:r>
        <mc:AlternateContent>
          <mc:Choice Requires="wps">
            <w:drawing>
              <wp:anchor distT="0" distB="0" distL="114300" distR="114300" simplePos="0" relativeHeight="251662336" behindDoc="0" locked="1" layoutInCell="1" allowOverlap="1">
                <wp:simplePos x="0" y="0"/>
                <wp:positionH relativeFrom="column">
                  <wp:posOffset>-105410</wp:posOffset>
                </wp:positionH>
                <wp:positionV relativeFrom="page">
                  <wp:posOffset>2714625</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3pt;margin-top:213.75pt;height:0pt;width:481.9pt;mso-position-vertical-relative:page;z-index:251662336;mso-width-relative:page;mso-height-relative:page;" filled="f" stroked="t" coordsize="21600,21600" o:gfxdata="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EPVE2AAAAAsBAAAPAAAAAAAAAAEAIAAAACIAAABkcnMvZG93bnJldi54bWxQSwEC&#10;FAAUAAAACACHTuJAnx8BLPQBAADkAwAADgAAAAAAAAABACAAAAAnAQAAZHJzL2Uyb0RvYy54bWxQ&#10;SwUGAAAAAAYABgBZAQAAjQUAAAAA&#10;">
                <v:fill on="f" focussize="0,0"/>
                <v:stroke color="#000000" joinstyle="round"/>
                <v:imagedata o:title=""/>
                <o:lock v:ext="edit" aspectratio="f"/>
                <w10:anchorlock/>
              </v:line>
            </w:pict>
          </mc:Fallback>
        </mc:AlternateContent>
      </w:r>
    </w:p>
    <w:p/>
    <w:p/>
    <w:p/>
    <w:p/>
    <w:p/>
    <w:p/>
    <w:p/>
    <w:p>
      <w:pPr>
        <w:pStyle w:val="23"/>
        <w:jc w:val="center"/>
        <w:rPr>
          <w:rFonts w:hint="eastAsia"/>
        </w:rPr>
        <w:sectPr>
          <w:headerReference r:id="rId3" w:type="default"/>
          <w:pgSz w:w="11906" w:h="16838"/>
          <w:pgMar w:top="567" w:right="1134" w:bottom="1134" w:left="1417" w:header="1417" w:footer="1134" w:gutter="0"/>
          <w:cols w:space="425" w:num="1"/>
          <w:docGrid w:type="lines" w:linePitch="312" w:charSpace="0"/>
        </w:sectPr>
      </w:pPr>
    </w:p>
    <w:p>
      <w:pPr>
        <w:pStyle w:val="23"/>
        <w:jc w:val="center"/>
        <w:rPr>
          <w:rFonts w:hint="eastAsia"/>
        </w:rPr>
      </w:pPr>
      <w:r>
        <w:rPr>
          <w:rFonts w:hint="eastAsia"/>
        </w:rPr>
        <w:t>前</w:t>
      </w:r>
      <w:bookmarkStart w:id="10" w:name="BKQY"/>
      <w:r>
        <w:rPr>
          <w:rFonts w:hint="eastAsia" w:ascii="MS Mincho" w:hAnsi="MS Mincho" w:eastAsia="MS Mincho" w:cs="MS Mincho"/>
        </w:rPr>
        <w:t>  </w:t>
      </w:r>
      <w:r>
        <w:rPr>
          <w:rFonts w:hint="eastAsia"/>
        </w:rPr>
        <w:t>言</w:t>
      </w:r>
      <w:bookmarkEnd w:id="10"/>
      <w:bookmarkStart w:id="48" w:name="_GoBack"/>
      <w:bookmarkEnd w:id="48"/>
    </w:p>
    <w:p>
      <w:pPr>
        <w:pStyle w:val="20"/>
        <w:rPr>
          <w:rFonts w:hint="eastAsia"/>
        </w:rPr>
      </w:pPr>
      <w:r>
        <w:rPr>
          <w:rFonts w:hint="eastAsia"/>
        </w:rPr>
        <w:t>本文件按照GB/T 1.1-2020《标准化工作导则 第1部分：标准化文件的结构和起草规则》给出的规则起草。</w:t>
      </w:r>
    </w:p>
    <w:p>
      <w:pPr>
        <w:pStyle w:val="20"/>
        <w:rPr>
          <w:rFonts w:hint="eastAsia"/>
        </w:rPr>
      </w:pPr>
      <w:r>
        <w:rPr>
          <w:rFonts w:hint="eastAsia"/>
        </w:rPr>
        <w:t>本文件起草单位: 云南天质弘耕科技有限公司。</w:t>
      </w:r>
    </w:p>
    <w:p>
      <w:pPr>
        <w:pStyle w:val="20"/>
        <w:rPr>
          <w:rFonts w:hint="eastAsia"/>
        </w:rPr>
      </w:pPr>
      <w:r>
        <w:rPr>
          <w:rFonts w:hint="eastAsia"/>
        </w:rPr>
        <w:t>本文件主要起草人</w:t>
      </w:r>
      <w:r>
        <w:rPr>
          <w:rFonts w:hint="eastAsia"/>
          <w:lang w:eastAsia="zh-CN"/>
        </w:rPr>
        <w:t>：</w:t>
      </w:r>
      <w:r>
        <w:rPr>
          <w:rFonts w:hint="eastAsia"/>
        </w:rPr>
        <w:t>李美琼、李佩龙、杨发宝。</w:t>
      </w:r>
    </w:p>
    <w:p/>
    <w:p/>
    <w:p/>
    <w:p/>
    <w:p/>
    <w:p/>
    <w:p/>
    <w:p/>
    <w:p/>
    <w:p/>
    <w:p/>
    <w:p/>
    <w:p/>
    <w:p/>
    <w:p/>
    <w:p/>
    <w:p/>
    <w:p/>
    <w:p/>
    <w:p/>
    <w:p/>
    <w:p/>
    <w:p/>
    <w:p/>
    <w:p/>
    <w:p/>
    <w:p/>
    <w:p/>
    <w:p/>
    <w:p/>
    <w:p/>
    <w:p/>
    <w:p/>
    <w:p>
      <w:pPr>
        <w:pStyle w:val="24"/>
        <w:spacing w:before="0" w:after="0" w:line="240" w:lineRule="auto"/>
        <w:rPr>
          <w:rFonts w:hint="eastAsia"/>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p>
    <w:p>
      <w:pPr>
        <w:pStyle w:val="24"/>
        <w:spacing w:before="0" w:after="0" w:line="240" w:lineRule="auto"/>
        <w:rPr>
          <w:rFonts w:hint="eastAsia"/>
        </w:rPr>
      </w:pPr>
      <w:r>
        <w:rPr>
          <w:rFonts w:hint="eastAsia"/>
          <w:lang w:eastAsia="zh-CN"/>
        </w:rPr>
        <w:t>大豆</w:t>
      </w:r>
      <w:r>
        <w:rPr>
          <w:rFonts w:hint="eastAsia"/>
          <w:color w:val="0000FF"/>
        </w:rPr>
        <w:t xml:space="preserve">           </w:t>
      </w:r>
      <w:r>
        <w:rPr>
          <w:rFonts w:hint="eastAsia"/>
        </w:rPr>
        <w:t xml:space="preserve">                                   </w:t>
      </w:r>
      <w:r>
        <w:rPr>
          <w:rFonts w:hint="eastAsia"/>
          <w:lang w:val="en-US" w:eastAsia="zh-CN"/>
        </w:rPr>
        <w:t xml:space="preserve"> </w:t>
      </w:r>
      <w:r>
        <w:rPr>
          <w:rFonts w:hint="eastAsia"/>
        </w:rPr>
        <w:t xml:space="preserve">      第5部分：保鲜贮藏</w:t>
      </w:r>
    </w:p>
    <w:p>
      <w:pPr>
        <w:pStyle w:val="25"/>
        <w:rPr>
          <w:rFonts w:hint="eastAsia"/>
        </w:rPr>
      </w:pPr>
      <w:r>
        <w:rPr>
          <w:rFonts w:hint="eastAsia"/>
        </w:rPr>
        <w:t>范围</w:t>
      </w:r>
    </w:p>
    <w:p>
      <w:pPr>
        <w:ind w:firstLine="420" w:firstLineChars="200"/>
        <w:rPr>
          <w:rFonts w:hint="eastAsia"/>
          <w:color w:val="000000"/>
          <w:szCs w:val="22"/>
        </w:rPr>
      </w:pPr>
      <w:r>
        <w:rPr>
          <w:rFonts w:hint="eastAsia"/>
          <w:color w:val="000000"/>
          <w:szCs w:val="22"/>
        </w:rPr>
        <w:t>本文件规定了</w:t>
      </w:r>
      <w:r>
        <w:rPr>
          <w:rFonts w:hint="eastAsia"/>
          <w:szCs w:val="21"/>
          <w:lang w:eastAsia="zh-CN"/>
        </w:rPr>
        <w:t>大豆</w:t>
      </w:r>
      <w:r>
        <w:rPr>
          <w:rFonts w:hint="eastAsia"/>
          <w:szCs w:val="21"/>
        </w:rPr>
        <w:t>保鲜</w:t>
      </w:r>
      <w:r>
        <w:rPr>
          <w:szCs w:val="21"/>
        </w:rPr>
        <w:t>贮藏基本要求、贮藏前准备、贮藏及运输</w:t>
      </w:r>
      <w:r>
        <w:rPr>
          <w:rFonts w:hint="eastAsia"/>
          <w:szCs w:val="21"/>
        </w:rPr>
        <w:t>管理</w:t>
      </w:r>
      <w:r>
        <w:rPr>
          <w:szCs w:val="21"/>
        </w:rPr>
        <w:t>标准</w:t>
      </w:r>
      <w:r>
        <w:rPr>
          <w:rFonts w:hint="eastAsia"/>
          <w:szCs w:val="21"/>
        </w:rPr>
        <w:t>。</w:t>
      </w:r>
    </w:p>
    <w:p>
      <w:pPr>
        <w:pStyle w:val="20"/>
        <w:rPr>
          <w:rFonts w:hint="eastAsia"/>
          <w:color w:val="000000"/>
          <w:szCs w:val="22"/>
        </w:rPr>
      </w:pPr>
      <w:r>
        <w:rPr>
          <w:rFonts w:hint="eastAsia"/>
          <w:color w:val="000000"/>
          <w:szCs w:val="22"/>
        </w:rPr>
        <w:t>本文件适用于</w:t>
      </w:r>
      <w:r>
        <w:rPr>
          <w:rFonts w:hint="eastAsia"/>
          <w:szCs w:val="21"/>
          <w:lang w:eastAsia="zh-CN"/>
        </w:rPr>
        <w:t>大豆</w:t>
      </w:r>
      <w:r>
        <w:rPr>
          <w:rFonts w:hint="eastAsia"/>
          <w:szCs w:val="21"/>
        </w:rPr>
        <w:t>的保鲜贮藏。</w:t>
      </w:r>
    </w:p>
    <w:p>
      <w:pPr>
        <w:pStyle w:val="25"/>
        <w:rPr>
          <w:rFonts w:hint="eastAsia"/>
        </w:rPr>
      </w:pPr>
      <w:r>
        <w:rPr>
          <w:rFonts w:hint="eastAsia"/>
        </w:rPr>
        <w:t>规范性引用文件</w:t>
      </w:r>
    </w:p>
    <w:p>
      <w:pPr>
        <w:pStyle w:val="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jc w:val="left"/>
        <w:rPr>
          <w:rFonts w:hint="eastAsia" w:ascii="宋体" w:hAnsi="宋体" w:cs="宋体"/>
          <w:szCs w:val="21"/>
        </w:rPr>
      </w:pPr>
      <w:bookmarkStart w:id="11" w:name="_Toc9437479"/>
      <w:bookmarkStart w:id="12" w:name="_Toc4575_WPSOffice_Level1"/>
      <w:bookmarkStart w:id="13" w:name="_Toc9494594"/>
      <w:bookmarkStart w:id="14" w:name="_Toc11311_WPSOffice_Level1"/>
      <w:bookmarkStart w:id="15" w:name="_Toc1295_WPSOffice_Level1"/>
      <w:bookmarkStart w:id="16" w:name="_Toc10544248"/>
      <w:r>
        <w:rPr>
          <w:rFonts w:hint="eastAsia" w:ascii="宋体" w:hAnsi="宋体" w:cs="宋体"/>
          <w:szCs w:val="21"/>
        </w:rPr>
        <w:t>GB 5007</w:t>
      </w:r>
      <w:r>
        <w:rPr>
          <w:rFonts w:hint="eastAsia" w:ascii="宋体" w:hAnsi="宋体" w:cs="宋体"/>
          <w:szCs w:val="21"/>
          <w:lang w:val="en-US" w:eastAsia="zh-CN"/>
        </w:rPr>
        <w:t xml:space="preserve">2  </w:t>
      </w:r>
      <w:r>
        <w:rPr>
          <w:rFonts w:hint="eastAsia" w:ascii="宋体" w:hAnsi="宋体" w:cs="宋体"/>
          <w:szCs w:val="21"/>
        </w:rPr>
        <w:t>冷库设计规范</w:t>
      </w:r>
    </w:p>
    <w:p>
      <w:pPr>
        <w:pStyle w:val="20"/>
        <w:rPr>
          <w:rFonts w:hint="eastAsia" w:ascii="宋体" w:hAnsi="宋体" w:cs="宋体"/>
          <w:szCs w:val="21"/>
        </w:rPr>
      </w:pPr>
      <w:r>
        <w:rPr>
          <w:rFonts w:hint="eastAsia" w:ascii="宋体" w:hAnsi="宋体" w:eastAsia="宋体" w:cs="宋体"/>
          <w:lang w:val="en-US" w:eastAsia="zh-CN"/>
        </w:rPr>
        <w:t>GB/T 14930.2</w:t>
      </w:r>
      <w:r>
        <w:rPr>
          <w:rFonts w:hint="eastAsia" w:hAnsi="宋体" w:cs="宋体"/>
          <w:lang w:val="en-US" w:eastAsia="zh-CN"/>
        </w:rPr>
        <w:t xml:space="preserve">  食品安全国家标准 消毒剂</w:t>
      </w:r>
    </w:p>
    <w:p>
      <w:pPr>
        <w:ind w:firstLine="420" w:firstLineChars="200"/>
        <w:jc w:val="left"/>
        <w:rPr>
          <w:rFonts w:hint="eastAsia" w:ascii="宋体" w:hAnsi="宋体" w:cs="宋体"/>
          <w:szCs w:val="21"/>
        </w:rPr>
      </w:pPr>
      <w:r>
        <w:rPr>
          <w:rFonts w:hint="eastAsia" w:ascii="宋体" w:hAnsi="宋体" w:cs="宋体"/>
          <w:szCs w:val="21"/>
        </w:rPr>
        <w:t>GB/T 3013</w:t>
      </w:r>
      <w:r>
        <w:rPr>
          <w:rFonts w:hint="eastAsia" w:ascii="宋体" w:hAnsi="宋体" w:cs="宋体"/>
          <w:szCs w:val="21"/>
          <w:lang w:val="en-US" w:eastAsia="zh-CN"/>
        </w:rPr>
        <w:t xml:space="preserve">4  </w:t>
      </w:r>
      <w:r>
        <w:rPr>
          <w:rFonts w:hint="eastAsia" w:ascii="宋体" w:hAnsi="宋体" w:cs="宋体"/>
          <w:szCs w:val="21"/>
        </w:rPr>
        <w:t>冷库管理规范</w:t>
      </w:r>
    </w:p>
    <w:p>
      <w:pPr>
        <w:ind w:firstLine="420" w:firstLineChars="200"/>
        <w:jc w:val="left"/>
        <w:rPr>
          <w:rFonts w:hint="eastAsia" w:ascii="宋体" w:hAnsi="宋体" w:cs="宋体"/>
          <w:szCs w:val="21"/>
        </w:rPr>
      </w:pPr>
      <w:r>
        <w:rPr>
          <w:rFonts w:hint="eastAsia" w:ascii="宋体" w:hAnsi="宋体" w:cs="宋体"/>
          <w:szCs w:val="21"/>
        </w:rPr>
        <w:t>SB/T 10448</w:t>
      </w:r>
      <w:r>
        <w:rPr>
          <w:rFonts w:hint="eastAsia" w:ascii="宋体" w:hAnsi="宋体" w:cs="宋体"/>
          <w:szCs w:val="21"/>
          <w:lang w:val="en-US" w:eastAsia="zh-CN"/>
        </w:rPr>
        <w:t xml:space="preserve">  </w:t>
      </w:r>
      <w:r>
        <w:rPr>
          <w:rFonts w:hint="eastAsia" w:ascii="宋体" w:hAnsi="宋体" w:cs="宋体"/>
          <w:szCs w:val="21"/>
        </w:rPr>
        <w:t>热带水果和蔬菜包装与运输操作规程</w:t>
      </w:r>
    </w:p>
    <w:p>
      <w:pPr>
        <w:pStyle w:val="25"/>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textAlignment w:val="auto"/>
        <w:rPr>
          <w:rFonts w:hint="default"/>
          <w:szCs w:val="22"/>
          <w:lang w:val="en-US" w:eastAsia="zh-CN"/>
        </w:rPr>
      </w:pPr>
      <w:r>
        <w:rPr>
          <w:rFonts w:hint="eastAsia"/>
          <w:szCs w:val="22"/>
          <w:lang w:val="en-US" w:eastAsia="zh-CN"/>
        </w:rPr>
        <w:t>3  术语和定义</w:t>
      </w:r>
      <w:bookmarkEnd w:id="11"/>
      <w:bookmarkEnd w:id="12"/>
      <w:bookmarkEnd w:id="13"/>
      <w:bookmarkEnd w:id="14"/>
      <w:bookmarkEnd w:id="15"/>
      <w:bookmarkEnd w:id="16"/>
    </w:p>
    <w:p>
      <w:pPr>
        <w:ind w:firstLine="420" w:firstLineChars="200"/>
        <w:jc w:val="left"/>
        <w:rPr>
          <w:szCs w:val="21"/>
        </w:rPr>
      </w:pPr>
      <w:r>
        <w:rPr>
          <w:rFonts w:hint="eastAsia"/>
          <w:szCs w:val="21"/>
        </w:rPr>
        <w:t>下列术语和定义适用于本文件。</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szCs w:val="22"/>
        </w:rPr>
      </w:pPr>
      <w:bookmarkStart w:id="17" w:name="_Toc9437480"/>
      <w:bookmarkStart w:id="18" w:name="_Toc13092_WPSOffice_Level2"/>
      <w:bookmarkStart w:id="19" w:name="_Toc9494595"/>
      <w:bookmarkStart w:id="20" w:name="_Toc6097_WPSOffice_Level2"/>
      <w:bookmarkStart w:id="21" w:name="_Toc21153_WPSOffice_Level2"/>
      <w:bookmarkStart w:id="22" w:name="_Toc12284_WPSOffice_Level2"/>
      <w:bookmarkStart w:id="23" w:name="_Toc2626_WPSOffice_Level2"/>
      <w:bookmarkStart w:id="24" w:name="_Toc16357_WPSOffice_Level2"/>
      <w:r>
        <w:rPr>
          <w:szCs w:val="22"/>
        </w:rPr>
        <w:t xml:space="preserve">3.1  </w:t>
      </w:r>
      <w:bookmarkEnd w:id="17"/>
      <w:bookmarkEnd w:id="18"/>
      <w:bookmarkEnd w:id="19"/>
      <w:bookmarkEnd w:id="20"/>
      <w:bookmarkEnd w:id="21"/>
      <w:bookmarkEnd w:id="22"/>
      <w:bookmarkEnd w:id="23"/>
      <w:bookmarkEnd w:id="24"/>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firstLine="420" w:firstLineChars="200"/>
        <w:textAlignment w:val="auto"/>
        <w:rPr>
          <w:rFonts w:hint="default"/>
        </w:rPr>
      </w:pPr>
      <w:r>
        <w:t>保鲜贮藏</w:t>
      </w:r>
    </w:p>
    <w:p>
      <w:pPr>
        <w:pStyle w:val="25"/>
        <w:numPr>
          <w:ilvl w:val="0"/>
          <w:numId w:val="0"/>
        </w:numPr>
        <w:spacing w:before="200" w:beforeLines="0" w:after="200" w:afterLines="0"/>
        <w:ind w:firstLine="420" w:firstLineChars="200"/>
        <w:rPr>
          <w:rFonts w:ascii="Calibri" w:eastAsia="宋体"/>
          <w:kern w:val="2"/>
          <w:szCs w:val="21"/>
        </w:rPr>
      </w:pPr>
      <w:r>
        <w:rPr>
          <w:rFonts w:ascii="Calibri" w:eastAsia="宋体"/>
          <w:kern w:val="2"/>
          <w:szCs w:val="21"/>
        </w:rPr>
        <w:t>根据不同的食用农产品选择适宜的贮藏方式，并按照相应的技术和工艺要求来保持果蔬、肉类、水产品的新鲜。</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szCs w:val="22"/>
        </w:rPr>
      </w:pPr>
      <w:bookmarkStart w:id="25" w:name="_Toc9437491"/>
      <w:bookmarkStart w:id="26" w:name="_Toc22236_WPSOffice_Level2"/>
      <w:bookmarkStart w:id="27" w:name="_Toc9494606"/>
      <w:r>
        <w:rPr>
          <w:szCs w:val="22"/>
        </w:rPr>
        <w:t xml:space="preserve">3.2  </w:t>
      </w:r>
      <w:bookmarkEnd w:id="25"/>
      <w:bookmarkEnd w:id="26"/>
      <w:bookmarkEnd w:id="27"/>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firstLine="420" w:firstLineChars="200"/>
        <w:textAlignment w:val="auto"/>
        <w:rPr>
          <w:szCs w:val="22"/>
        </w:rPr>
      </w:pPr>
      <w:r>
        <w:rPr>
          <w:szCs w:val="22"/>
        </w:rPr>
        <w:t>预冷</w:t>
      </w:r>
    </w:p>
    <w:p>
      <w:pPr>
        <w:ind w:firstLine="440" w:firstLineChars="200"/>
      </w:pPr>
      <w:r>
        <w:rPr>
          <w:rFonts w:hint="eastAsia" w:ascii="宋体" w:hAnsi="宋体" w:cs="宋体"/>
          <w:kern w:val="0"/>
          <w:sz w:val="22"/>
          <w:szCs w:val="22"/>
        </w:rPr>
        <w:t>新鲜采收的浆果，在长途运输销售或储藏之前，通过必要的装置或设施，迅速除去田间热和呼吸热，使果心温度尽量降低到适宜温度范围的操作过程。</w:t>
      </w:r>
    </w:p>
    <w:p>
      <w:pPr>
        <w:pStyle w:val="25"/>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textAlignment w:val="auto"/>
        <w:rPr>
          <w:rFonts w:hint="default"/>
          <w:szCs w:val="22"/>
          <w:lang w:val="en-US" w:eastAsia="zh-CN"/>
        </w:rPr>
      </w:pPr>
      <w:bookmarkStart w:id="28" w:name="_Toc21874_WPSOffice_Level2"/>
      <w:bookmarkStart w:id="29" w:name="_Toc9494705"/>
      <w:bookmarkStart w:id="30" w:name="_Toc9437590"/>
      <w:r>
        <w:rPr>
          <w:rFonts w:hint="eastAsia"/>
          <w:szCs w:val="22"/>
          <w:lang w:val="en-US" w:eastAsia="zh-CN"/>
        </w:rPr>
        <w:t>4</w:t>
      </w:r>
      <w:r>
        <w:rPr>
          <w:rFonts w:hint="default"/>
          <w:szCs w:val="22"/>
          <w:lang w:val="en-US" w:eastAsia="zh-CN"/>
        </w:rPr>
        <w:t xml:space="preserve">  </w:t>
      </w:r>
      <w:bookmarkEnd w:id="28"/>
      <w:bookmarkEnd w:id="29"/>
      <w:bookmarkEnd w:id="30"/>
      <w:r>
        <w:rPr>
          <w:rFonts w:hint="default"/>
          <w:szCs w:val="22"/>
          <w:lang w:val="en-US" w:eastAsia="zh-CN"/>
        </w:rPr>
        <w:t>冷库要求</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szCs w:val="22"/>
        </w:rPr>
      </w:pPr>
      <w:bookmarkStart w:id="31" w:name="_Toc9494706"/>
      <w:bookmarkStart w:id="32" w:name="_Toc9437591"/>
      <w:r>
        <w:rPr>
          <w:rFonts w:hint="eastAsia"/>
          <w:szCs w:val="22"/>
          <w:lang w:val="en-US" w:eastAsia="zh-CN"/>
        </w:rPr>
        <w:t>4.1</w:t>
      </w:r>
      <w:bookmarkEnd w:id="31"/>
      <w:bookmarkEnd w:id="32"/>
      <w:r>
        <w:rPr>
          <w:rFonts w:hint="eastAsia"/>
          <w:szCs w:val="22"/>
          <w:lang w:val="en-US" w:eastAsia="zh-CN"/>
        </w:rPr>
        <w:t xml:space="preserve">  </w:t>
      </w:r>
      <w:r>
        <w:rPr>
          <w:szCs w:val="22"/>
        </w:rPr>
        <w:t>冷库</w:t>
      </w:r>
    </w:p>
    <w:p>
      <w:pPr>
        <w:ind w:firstLine="420" w:firstLineChars="200"/>
        <w:jc w:val="left"/>
        <w:rPr>
          <w:rFonts w:hint="eastAsia" w:ascii="宋体" w:hAnsi="宋体" w:cs="宋体"/>
          <w:szCs w:val="21"/>
        </w:rPr>
      </w:pPr>
      <w:r>
        <w:rPr>
          <w:rFonts w:hint="eastAsia" w:ascii="宋体" w:hAnsi="宋体" w:cs="宋体"/>
          <w:szCs w:val="21"/>
        </w:rPr>
        <w:t>冷库应</w:t>
      </w:r>
      <w:r>
        <w:rPr>
          <w:rFonts w:ascii="宋体" w:hAnsi="宋体" w:cs="宋体"/>
          <w:szCs w:val="21"/>
        </w:rPr>
        <w:t>符合</w:t>
      </w:r>
      <w:r>
        <w:rPr>
          <w:rFonts w:hint="eastAsia" w:ascii="宋体" w:hAnsi="宋体" w:cs="宋体"/>
          <w:szCs w:val="21"/>
        </w:rPr>
        <w:t>GB</w:t>
      </w:r>
      <w:r>
        <w:rPr>
          <w:rFonts w:ascii="宋体" w:hAnsi="宋体" w:cs="宋体"/>
          <w:szCs w:val="21"/>
        </w:rPr>
        <w:t xml:space="preserve"> </w:t>
      </w:r>
      <w:r>
        <w:rPr>
          <w:rFonts w:hint="eastAsia" w:ascii="宋体" w:hAnsi="宋体" w:cs="宋体"/>
          <w:szCs w:val="21"/>
        </w:rPr>
        <w:t>50</w:t>
      </w:r>
      <w:r>
        <w:rPr>
          <w:rFonts w:ascii="宋体" w:hAnsi="宋体" w:cs="宋体"/>
          <w:szCs w:val="21"/>
        </w:rPr>
        <w:t>0</w:t>
      </w:r>
      <w:r>
        <w:rPr>
          <w:rFonts w:hint="eastAsia" w:ascii="宋体" w:hAnsi="宋体" w:cs="宋体"/>
          <w:szCs w:val="21"/>
        </w:rPr>
        <w:t>72的规定。</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lang w:val="en-US" w:eastAsia="zh-CN"/>
        </w:rPr>
      </w:pPr>
      <w:bookmarkStart w:id="33" w:name="_Toc9494707"/>
      <w:bookmarkStart w:id="34" w:name="_Toc9437592"/>
      <w:r>
        <w:rPr>
          <w:rFonts w:hint="eastAsia"/>
          <w:szCs w:val="22"/>
          <w:lang w:val="en-US" w:eastAsia="zh-CN"/>
        </w:rPr>
        <w:t xml:space="preserve">4.2  </w:t>
      </w:r>
      <w:bookmarkEnd w:id="33"/>
      <w:bookmarkEnd w:id="34"/>
      <w:r>
        <w:rPr>
          <w:rFonts w:hint="eastAsia"/>
          <w:szCs w:val="22"/>
          <w:lang w:val="en-US" w:eastAsia="zh-CN"/>
        </w:rPr>
        <w:t>入库前</w:t>
      </w:r>
      <w:r>
        <w:rPr>
          <w:rFonts w:hint="default"/>
          <w:szCs w:val="22"/>
          <w:lang w:val="en-US" w:eastAsia="zh-CN"/>
        </w:rPr>
        <w:t>准备</w:t>
      </w:r>
    </w:p>
    <w:p>
      <w:pPr>
        <w:ind w:firstLine="420" w:firstLineChars="200"/>
      </w:pPr>
      <w:r>
        <w:rPr>
          <w:rFonts w:hint="eastAsia" w:ascii="宋体" w:hAnsi="宋体" w:cs="宋体"/>
          <w:szCs w:val="21"/>
        </w:rPr>
        <w:t>入库</w:t>
      </w:r>
      <w:r>
        <w:rPr>
          <w:rFonts w:ascii="宋体" w:hAnsi="宋体" w:cs="宋体"/>
          <w:szCs w:val="21"/>
        </w:rPr>
        <w:t>前对制冷设备进行调试和检修。对</w:t>
      </w:r>
      <w:r>
        <w:rPr>
          <w:rFonts w:hint="eastAsia" w:ascii="宋体" w:hAnsi="宋体" w:cs="宋体"/>
          <w:szCs w:val="21"/>
        </w:rPr>
        <w:t>库房</w:t>
      </w:r>
      <w:r>
        <w:rPr>
          <w:rFonts w:ascii="宋体" w:hAnsi="宋体" w:cs="宋体"/>
          <w:szCs w:val="21"/>
        </w:rPr>
        <w:t>、容器、工具等进行灭菌消毒处理</w:t>
      </w:r>
      <w:r>
        <w:rPr>
          <w:rFonts w:hint="eastAsia" w:ascii="宋体" w:hAnsi="宋体" w:cs="宋体"/>
          <w:szCs w:val="21"/>
        </w:rPr>
        <w:t>，</w:t>
      </w:r>
      <w:r>
        <w:rPr>
          <w:rFonts w:hint="eastAsia" w:ascii="宋体" w:hAnsi="宋体" w:cs="宋体"/>
          <w:szCs w:val="21"/>
          <w:lang w:eastAsia="zh-CN"/>
        </w:rPr>
        <w:t>应符合</w:t>
      </w:r>
      <w:r>
        <w:rPr>
          <w:rFonts w:hint="eastAsia" w:ascii="宋体" w:hAnsi="宋体" w:eastAsia="宋体" w:cs="宋体"/>
          <w:lang w:val="en-US" w:eastAsia="zh-CN"/>
        </w:rPr>
        <w:t>GB/T 14930.2</w:t>
      </w:r>
      <w:r>
        <w:rPr>
          <w:rFonts w:hint="eastAsia" w:ascii="宋体" w:hAnsi="宋体" w:cs="宋体"/>
          <w:lang w:val="en-US" w:eastAsia="zh-CN"/>
        </w:rPr>
        <w:t>相关规定，</w:t>
      </w:r>
      <w:r>
        <w:rPr>
          <w:rFonts w:ascii="宋体" w:hAnsi="宋体" w:cs="宋体"/>
          <w:szCs w:val="21"/>
        </w:rPr>
        <w:t>并及时通风。</w:t>
      </w:r>
    </w:p>
    <w:p>
      <w:pPr>
        <w:pStyle w:val="25"/>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textAlignment w:val="auto"/>
        <w:rPr>
          <w:rFonts w:hint="eastAsia"/>
          <w:szCs w:val="22"/>
          <w:lang w:val="en-US" w:eastAsia="zh-CN"/>
        </w:rPr>
      </w:pPr>
      <w:r>
        <w:rPr>
          <w:rFonts w:hint="eastAsia"/>
          <w:szCs w:val="22"/>
          <w:lang w:val="en-US" w:eastAsia="zh-CN"/>
        </w:rPr>
        <w:t>5  预冷和</w:t>
      </w:r>
      <w:r>
        <w:rPr>
          <w:rFonts w:hint="default"/>
          <w:szCs w:val="22"/>
          <w:lang w:val="en-US" w:eastAsia="zh-CN"/>
        </w:rPr>
        <w:t>入</w:t>
      </w:r>
      <w:r>
        <w:rPr>
          <w:rFonts w:hint="eastAsia"/>
          <w:szCs w:val="22"/>
          <w:lang w:val="en-US" w:eastAsia="zh-CN"/>
        </w:rPr>
        <w:t>贮</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pPr>
      <w:r>
        <w:rPr>
          <w:rFonts w:hint="default"/>
        </w:rPr>
        <w:t>5</w:t>
      </w:r>
      <w:r>
        <w:t>.</w:t>
      </w:r>
      <w:r>
        <w:rPr>
          <w:rFonts w:hint="default"/>
        </w:rPr>
        <w:t>1</w:t>
      </w:r>
      <w:r>
        <w:t xml:space="preserve">  预冷</w:t>
      </w:r>
    </w:p>
    <w:p>
      <w:pPr>
        <w:ind w:firstLine="420" w:firstLineChars="200"/>
        <w:rPr>
          <w:rFonts w:hint="eastAsia" w:ascii="宋体" w:hAnsi="宋体" w:cs="宋体"/>
          <w:szCs w:val="21"/>
        </w:rPr>
      </w:pPr>
      <w:r>
        <w:rPr>
          <w:rFonts w:hint="eastAsia" w:ascii="宋体" w:hAnsi="宋体" w:cs="宋体"/>
          <w:szCs w:val="21"/>
        </w:rPr>
        <w:t>采收</w:t>
      </w:r>
      <w:r>
        <w:rPr>
          <w:rFonts w:ascii="宋体" w:hAnsi="宋体" w:cs="宋体"/>
          <w:szCs w:val="21"/>
        </w:rPr>
        <w:t>后应及时</w:t>
      </w:r>
      <w:r>
        <w:rPr>
          <w:rFonts w:hint="eastAsia" w:ascii="宋体" w:hAnsi="宋体" w:cs="宋体"/>
          <w:szCs w:val="21"/>
        </w:rPr>
        <w:t>进行</w:t>
      </w:r>
      <w:r>
        <w:rPr>
          <w:rFonts w:ascii="宋体" w:hAnsi="宋体" w:cs="宋体"/>
          <w:szCs w:val="21"/>
        </w:rPr>
        <w:t>预冷，</w:t>
      </w:r>
      <w:r>
        <w:rPr>
          <w:rFonts w:hint="eastAsia" w:ascii="宋体" w:hAnsi="宋体" w:cs="宋体"/>
          <w:szCs w:val="21"/>
        </w:rPr>
        <w:t>时间不宜</w:t>
      </w:r>
      <w:r>
        <w:rPr>
          <w:rFonts w:ascii="宋体" w:hAnsi="宋体" w:cs="宋体"/>
          <w:szCs w:val="21"/>
        </w:rPr>
        <w:t>超过12</w:t>
      </w:r>
      <w:r>
        <w:rPr>
          <w:rFonts w:hint="eastAsia" w:ascii="宋体" w:hAnsi="宋体" w:cs="宋体"/>
          <w:szCs w:val="21"/>
        </w:rPr>
        <w:t>小时。预冷温度</w:t>
      </w:r>
      <w:r>
        <w:rPr>
          <w:rFonts w:ascii="宋体" w:hAnsi="宋体" w:cs="宋体"/>
          <w:szCs w:val="21"/>
        </w:rPr>
        <w:t>为</w:t>
      </w:r>
      <w:r>
        <w:rPr>
          <w:rFonts w:hint="eastAsia" w:ascii="宋体" w:hAnsi="宋体" w:cs="宋体"/>
          <w:szCs w:val="21"/>
        </w:rPr>
        <w:t>0℃～2℃。</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5.2  入贮</w:t>
      </w:r>
    </w:p>
    <w:p>
      <w:pPr>
        <w:ind w:firstLine="420" w:firstLineChars="200"/>
        <w:rPr>
          <w:rFonts w:hint="eastAsia"/>
        </w:rPr>
      </w:pPr>
      <w:r>
        <w:rPr>
          <w:rFonts w:hint="eastAsia" w:ascii="宋体" w:hAnsi="宋体" w:cs="宋体"/>
          <w:szCs w:val="21"/>
        </w:rPr>
        <w:t>经</w:t>
      </w:r>
      <w:r>
        <w:rPr>
          <w:rFonts w:ascii="宋体" w:hAnsi="宋体" w:cs="宋体"/>
          <w:szCs w:val="21"/>
        </w:rPr>
        <w:t>预冷后的</w:t>
      </w:r>
      <w:r>
        <w:rPr>
          <w:rFonts w:hint="eastAsia" w:ascii="宋体" w:hAnsi="宋体" w:cs="宋体"/>
          <w:szCs w:val="21"/>
          <w:lang w:eastAsia="zh-CN"/>
        </w:rPr>
        <w:t>大豆</w:t>
      </w:r>
      <w:r>
        <w:rPr>
          <w:rFonts w:hint="eastAsia" w:ascii="宋体" w:hAnsi="宋体" w:cs="宋体"/>
          <w:szCs w:val="21"/>
        </w:rPr>
        <w:t>可</w:t>
      </w:r>
      <w:r>
        <w:rPr>
          <w:rFonts w:ascii="宋体" w:hAnsi="宋体" w:cs="宋体"/>
          <w:szCs w:val="21"/>
        </w:rPr>
        <w:t>进行入库贮藏</w:t>
      </w:r>
      <w:r>
        <w:rPr>
          <w:rFonts w:hint="eastAsia" w:ascii="宋体" w:hAnsi="宋体" w:cs="宋体"/>
          <w:szCs w:val="21"/>
        </w:rPr>
        <w:t>。入库</w:t>
      </w:r>
      <w:r>
        <w:rPr>
          <w:rFonts w:ascii="宋体" w:hAnsi="宋体" w:cs="宋体"/>
          <w:szCs w:val="21"/>
        </w:rPr>
        <w:t>时</w:t>
      </w:r>
      <w:r>
        <w:rPr>
          <w:rFonts w:hint="eastAsia"/>
        </w:rPr>
        <w:t>轻装</w:t>
      </w:r>
      <w:r>
        <w:t>轻卸</w:t>
      </w:r>
      <w:r>
        <w:rPr>
          <w:rFonts w:hint="eastAsia"/>
        </w:rPr>
        <w:t>，码放</w:t>
      </w:r>
      <w:r>
        <w:t>应</w:t>
      </w:r>
      <w:r>
        <w:rPr>
          <w:rFonts w:hint="eastAsia" w:ascii="宋体" w:hAnsi="宋体" w:eastAsia="宋体" w:cs="宋体"/>
        </w:rPr>
        <w:t>符合GB/T 30134中</w:t>
      </w:r>
      <w:r>
        <w:t>的相关规定</w:t>
      </w:r>
      <w:r>
        <w:rPr>
          <w:rFonts w:hint="eastAsia"/>
        </w:rPr>
        <w:t>。</w:t>
      </w:r>
      <w:r>
        <w:t>按产地、品种、等级</w:t>
      </w:r>
      <w:r>
        <w:rPr>
          <w:rFonts w:hint="eastAsia"/>
        </w:rPr>
        <w:t>分别堆码并悬挂</w:t>
      </w:r>
      <w:r>
        <w:t>标牌。</w:t>
      </w:r>
    </w:p>
    <w:p>
      <w:pPr>
        <w:pStyle w:val="25"/>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textAlignment w:val="auto"/>
        <w:rPr>
          <w:rFonts w:hint="default"/>
          <w:szCs w:val="22"/>
          <w:lang w:val="en-US" w:eastAsia="zh-CN"/>
        </w:rPr>
      </w:pPr>
      <w:r>
        <w:rPr>
          <w:rFonts w:hint="default"/>
          <w:szCs w:val="22"/>
          <w:lang w:val="en-US" w:eastAsia="zh-CN"/>
        </w:rPr>
        <w:t>6</w:t>
      </w:r>
      <w:r>
        <w:rPr>
          <w:rFonts w:hint="eastAsia"/>
          <w:szCs w:val="22"/>
          <w:lang w:val="en-US" w:eastAsia="zh-CN"/>
        </w:rPr>
        <w:t xml:space="preserve">  贮藏</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6.1  贮藏条件</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6.1.1  温度</w:t>
      </w:r>
    </w:p>
    <w:p>
      <w:pPr>
        <w:ind w:firstLine="420" w:firstLineChars="200"/>
        <w:rPr>
          <w:rFonts w:hint="eastAsia"/>
        </w:rPr>
      </w:pPr>
      <w:r>
        <w:rPr>
          <w:rFonts w:hint="eastAsia"/>
        </w:rPr>
        <w:t>贮藏</w:t>
      </w:r>
      <w:r>
        <w:t>温度</w:t>
      </w:r>
      <w:r>
        <w:rPr>
          <w:rFonts w:hint="eastAsia" w:ascii="宋体" w:hAnsi="宋体" w:eastAsia="宋体" w:cs="宋体"/>
        </w:rPr>
        <w:t>宜为0℃～2℃。</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6.1.2  温度</w:t>
      </w:r>
    </w:p>
    <w:p>
      <w:pPr>
        <w:ind w:firstLine="420" w:firstLineChars="200"/>
      </w:pPr>
      <w:r>
        <w:rPr>
          <w:rFonts w:hint="eastAsia"/>
        </w:rPr>
        <w:t>贮藏相对湿度</w:t>
      </w:r>
      <w:r>
        <w:t>宜为</w:t>
      </w:r>
      <w:r>
        <w:rPr>
          <w:rFonts w:hint="eastAsia" w:ascii="宋体" w:hAnsi="宋体" w:eastAsia="宋体" w:cs="宋体"/>
        </w:rPr>
        <w:t>95%～98%。</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6.2  贮藏管理</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6.2.1  定期检查</w:t>
      </w:r>
    </w:p>
    <w:p>
      <w:pPr>
        <w:pStyle w:val="25"/>
        <w:numPr>
          <w:ilvl w:val="0"/>
          <w:numId w:val="0"/>
        </w:numPr>
        <w:spacing w:before="200" w:beforeLines="0" w:after="200" w:afterLines="0"/>
        <w:ind w:firstLine="420" w:firstLineChars="200"/>
        <w:rPr>
          <w:rFonts w:ascii="Calibri" w:eastAsia="宋体"/>
          <w:kern w:val="2"/>
          <w:szCs w:val="24"/>
        </w:rPr>
      </w:pPr>
      <w:r>
        <w:rPr>
          <w:rFonts w:ascii="Calibri" w:eastAsia="宋体"/>
          <w:kern w:val="2"/>
          <w:szCs w:val="24"/>
        </w:rPr>
        <w:t>贮藏期间应定期</w:t>
      </w:r>
      <w:r>
        <w:rPr>
          <w:rFonts w:hint="default" w:ascii="Calibri" w:eastAsia="宋体"/>
          <w:kern w:val="2"/>
          <w:szCs w:val="24"/>
        </w:rPr>
        <w:t>抽样检查是否有病害、冷害、</w:t>
      </w:r>
      <w:r>
        <w:rPr>
          <w:rFonts w:ascii="Calibri" w:eastAsia="宋体"/>
          <w:kern w:val="2"/>
          <w:szCs w:val="24"/>
        </w:rPr>
        <w:t>转色</w:t>
      </w:r>
      <w:r>
        <w:rPr>
          <w:rFonts w:hint="default" w:ascii="Calibri" w:eastAsia="宋体"/>
          <w:kern w:val="2"/>
          <w:szCs w:val="24"/>
        </w:rPr>
        <w:t>、失水和腐烂</w:t>
      </w:r>
      <w:r>
        <w:rPr>
          <w:rFonts w:ascii="Calibri" w:eastAsia="宋体"/>
          <w:kern w:val="2"/>
          <w:szCs w:val="24"/>
        </w:rPr>
        <w:t>等</w:t>
      </w:r>
      <w:r>
        <w:rPr>
          <w:rFonts w:hint="default" w:ascii="Calibri" w:eastAsia="宋体"/>
          <w:kern w:val="2"/>
          <w:szCs w:val="24"/>
        </w:rPr>
        <w:t>情况发生，发现问题</w:t>
      </w:r>
      <w:r>
        <w:rPr>
          <w:rFonts w:ascii="Calibri" w:eastAsia="宋体"/>
          <w:kern w:val="2"/>
          <w:szCs w:val="24"/>
        </w:rPr>
        <w:t>要及时进行处理。</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6.2.2  通风换气</w:t>
      </w:r>
    </w:p>
    <w:p>
      <w:pPr>
        <w:ind w:firstLine="420" w:firstLineChars="200"/>
        <w:rPr>
          <w:rFonts w:hint="eastAsia"/>
        </w:rPr>
      </w:pPr>
      <w:r>
        <w:rPr>
          <w:rFonts w:hint="eastAsia"/>
        </w:rPr>
        <w:t>贮藏</w:t>
      </w:r>
      <w:r>
        <w:t>期间，定期对仓库进行通风换气，</w:t>
      </w:r>
      <w:r>
        <w:rPr>
          <w:rFonts w:hint="eastAsia"/>
        </w:rPr>
        <w:t>每次</w:t>
      </w:r>
      <w:r>
        <w:t>换气</w:t>
      </w:r>
      <w:r>
        <w:rPr>
          <w:rFonts w:hint="eastAsia"/>
        </w:rPr>
        <w:t>保证</w:t>
      </w:r>
      <w:r>
        <w:t>库内气体完全</w:t>
      </w:r>
      <w:r>
        <w:rPr>
          <w:rFonts w:hint="eastAsia"/>
        </w:rPr>
        <w:t>置换一遍。</w:t>
      </w:r>
      <w:r>
        <w:t>换气</w:t>
      </w:r>
      <w:r>
        <w:rPr>
          <w:rFonts w:hint="eastAsia"/>
        </w:rPr>
        <w:t>过程中</w:t>
      </w:r>
      <w:r>
        <w:t>保持库温波动不超过</w:t>
      </w:r>
      <w:r>
        <w:rPr>
          <w:rFonts w:hint="eastAsia"/>
        </w:rPr>
        <w:t>2℃</w:t>
      </w:r>
      <w:r>
        <w:t>。</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6.2.3  贮藏期限</w:t>
      </w:r>
    </w:p>
    <w:p>
      <w:pPr>
        <w:ind w:firstLine="420" w:firstLineChars="200"/>
        <w:rPr>
          <w:rFonts w:hint="eastAsia"/>
        </w:rPr>
      </w:pPr>
      <w:r>
        <w:rPr>
          <w:rFonts w:hint="eastAsia"/>
        </w:rPr>
        <w:t>贮藏期一般</w:t>
      </w:r>
      <w:r>
        <w:rPr>
          <w:rFonts w:hint="eastAsia" w:ascii="宋体" w:hAnsi="宋体" w:eastAsia="宋体" w:cs="宋体"/>
        </w:rPr>
        <w:t>为20d</w:t>
      </w:r>
      <w:r>
        <w:rPr>
          <w:rFonts w:hint="eastAsia" w:ascii="宋体" w:hAnsi="宋体" w:cs="宋体"/>
          <w:lang w:eastAsia="zh-CN"/>
        </w:rPr>
        <w:t>～</w:t>
      </w:r>
      <w:r>
        <w:rPr>
          <w:rFonts w:hint="eastAsia" w:ascii="宋体" w:hAnsi="宋体" w:eastAsia="宋体" w:cs="宋体"/>
        </w:rPr>
        <w:t>35d。</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6.2.4  出库</w:t>
      </w:r>
    </w:p>
    <w:p>
      <w:pPr>
        <w:keepNext w:val="0"/>
        <w:keepLines w:val="0"/>
        <w:pageBreakBefore w:val="0"/>
        <w:kinsoku/>
        <w:wordWrap/>
        <w:overflowPunct/>
        <w:topLinePunct w:val="0"/>
        <w:autoSpaceDE/>
        <w:autoSpaceDN/>
        <w:bidi w:val="0"/>
        <w:adjustRightInd/>
        <w:snapToGrid/>
        <w:textAlignment w:val="auto"/>
      </w:pPr>
      <w:r>
        <w:rPr>
          <w:rFonts w:hint="eastAsia" w:ascii="黑体" w:hAnsi="Times New Roman" w:eastAsia="黑体" w:cs="Times New Roman"/>
          <w:kern w:val="0"/>
          <w:sz w:val="21"/>
          <w:szCs w:val="22"/>
          <w:lang w:val="en-US" w:eastAsia="zh-CN" w:bidi="ar-SA"/>
        </w:rPr>
        <w:t>6.2.4.1</w:t>
      </w:r>
      <w:r>
        <w:rPr>
          <w:rFonts w:hint="eastAsia" w:ascii="黑体" w:eastAsia="黑体"/>
          <w:kern w:val="0"/>
          <w:szCs w:val="20"/>
        </w:rPr>
        <w:t xml:space="preserve">  </w:t>
      </w:r>
      <w:r>
        <w:rPr>
          <w:rFonts w:hint="eastAsia"/>
        </w:rPr>
        <w:t>贮后</w:t>
      </w:r>
      <w:r>
        <w:t>出库的产品要求色泽、外观、风味正常，无软化</w:t>
      </w:r>
      <w:r>
        <w:rPr>
          <w:rFonts w:hint="eastAsia"/>
        </w:rPr>
        <w:t>、</w:t>
      </w:r>
      <w:r>
        <w:t>老化</w:t>
      </w:r>
      <w:r>
        <w:rPr>
          <w:rFonts w:hint="eastAsia"/>
        </w:rPr>
        <w:t>、</w:t>
      </w:r>
      <w:r>
        <w:t>病斑、</w:t>
      </w:r>
      <w:r>
        <w:rPr>
          <w:rFonts w:hint="eastAsia"/>
        </w:rPr>
        <w:t>霉烂。</w:t>
      </w:r>
    </w:p>
    <w:p>
      <w:pPr>
        <w:pStyle w:val="25"/>
        <w:keepNext w:val="0"/>
        <w:keepLines w:val="0"/>
        <w:pageBreakBefore w:val="0"/>
        <w:numPr>
          <w:ilvl w:val="0"/>
          <w:numId w:val="0"/>
        </w:numPr>
        <w:kinsoku/>
        <w:wordWrap/>
        <w:overflowPunct/>
        <w:topLinePunct w:val="0"/>
        <w:autoSpaceDE/>
        <w:autoSpaceDN/>
        <w:bidi w:val="0"/>
        <w:adjustRightInd/>
        <w:snapToGrid/>
        <w:spacing w:before="0" w:beforeLines="0" w:after="0" w:afterLines="0"/>
        <w:textAlignment w:val="auto"/>
        <w:rPr>
          <w:rFonts w:hint="default" w:ascii="Calibri" w:eastAsia="宋体"/>
          <w:kern w:val="2"/>
          <w:szCs w:val="24"/>
        </w:rPr>
      </w:pPr>
      <w:r>
        <w:t>6.2.4.</w:t>
      </w:r>
      <w:r>
        <w:rPr>
          <w:rFonts w:hint="default"/>
        </w:rPr>
        <w:t>2</w:t>
      </w:r>
      <w:r>
        <w:rPr>
          <w:rFonts w:hint="eastAsia"/>
          <w:lang w:val="en-US" w:eastAsia="zh-CN"/>
        </w:rPr>
        <w:t xml:space="preserve">  </w:t>
      </w:r>
      <w:r>
        <w:rPr>
          <w:rFonts w:ascii="Calibri" w:eastAsia="宋体"/>
          <w:kern w:val="2"/>
          <w:szCs w:val="24"/>
        </w:rPr>
        <w:t>出库</w:t>
      </w:r>
      <w:r>
        <w:rPr>
          <w:rFonts w:hint="default" w:ascii="Calibri" w:eastAsia="宋体"/>
          <w:kern w:val="2"/>
          <w:szCs w:val="24"/>
        </w:rPr>
        <w:t>应详细记录产品</w:t>
      </w:r>
      <w:r>
        <w:rPr>
          <w:rFonts w:ascii="Calibri" w:eastAsia="宋体"/>
          <w:kern w:val="2"/>
          <w:szCs w:val="24"/>
        </w:rPr>
        <w:t>信息、贮藏</w:t>
      </w:r>
      <w:r>
        <w:rPr>
          <w:rFonts w:hint="default" w:ascii="Calibri" w:eastAsia="宋体"/>
          <w:kern w:val="2"/>
          <w:szCs w:val="24"/>
        </w:rPr>
        <w:t>条件、</w:t>
      </w:r>
      <w:r>
        <w:rPr>
          <w:rFonts w:ascii="Calibri" w:eastAsia="宋体"/>
          <w:kern w:val="2"/>
          <w:szCs w:val="24"/>
        </w:rPr>
        <w:t>出库</w:t>
      </w:r>
      <w:r>
        <w:rPr>
          <w:rFonts w:hint="default" w:ascii="Calibri" w:eastAsia="宋体"/>
          <w:kern w:val="2"/>
          <w:szCs w:val="24"/>
        </w:rPr>
        <w:t>时间、批次号等信息。</w:t>
      </w:r>
    </w:p>
    <w:p>
      <w:pPr>
        <w:keepNext w:val="0"/>
        <w:keepLines w:val="0"/>
        <w:pageBreakBefore w:val="0"/>
        <w:kinsoku/>
        <w:wordWrap/>
        <w:overflowPunct/>
        <w:topLinePunct w:val="0"/>
        <w:autoSpaceDE/>
        <w:autoSpaceDN/>
        <w:bidi w:val="0"/>
        <w:adjustRightInd/>
        <w:snapToGrid/>
        <w:textAlignment w:val="auto"/>
        <w:rPr>
          <w:rFonts w:hint="eastAsia"/>
        </w:rPr>
      </w:pPr>
      <w:r>
        <w:rPr>
          <w:rFonts w:hint="eastAsia" w:ascii="黑体" w:eastAsia="黑体"/>
          <w:kern w:val="0"/>
          <w:szCs w:val="20"/>
        </w:rPr>
        <w:t>6.2.4.</w:t>
      </w:r>
      <w:r>
        <w:rPr>
          <w:rFonts w:ascii="黑体" w:eastAsia="黑体"/>
          <w:kern w:val="0"/>
          <w:szCs w:val="20"/>
        </w:rPr>
        <w:t>3</w:t>
      </w:r>
      <w:r>
        <w:rPr>
          <w:rFonts w:hint="eastAsia" w:ascii="黑体" w:eastAsia="黑体"/>
          <w:kern w:val="0"/>
          <w:szCs w:val="20"/>
          <w:lang w:val="en-US" w:eastAsia="zh-CN"/>
        </w:rPr>
        <w:t xml:space="preserve">  </w:t>
      </w:r>
      <w:r>
        <w:rPr>
          <w:rFonts w:hint="eastAsia"/>
        </w:rPr>
        <w:t>出库</w:t>
      </w:r>
      <w:r>
        <w:t>时遵循先进先出的原则</w:t>
      </w:r>
      <w:r>
        <w:rPr>
          <w:rFonts w:hint="eastAsia"/>
        </w:rPr>
        <w:t>。应</w:t>
      </w:r>
      <w:r>
        <w:t>轻搬轻放，避免造成损伤，</w:t>
      </w:r>
      <w:r>
        <w:rPr>
          <w:rFonts w:hint="eastAsia"/>
        </w:rPr>
        <w:t>出库操作</w:t>
      </w:r>
      <w:r>
        <w:t>要快捷，</w:t>
      </w:r>
      <w:r>
        <w:rPr>
          <w:rFonts w:hint="eastAsia"/>
        </w:rPr>
        <w:t>对</w:t>
      </w:r>
      <w:r>
        <w:t>在库产品和贮藏环境不</w:t>
      </w:r>
      <w:r>
        <w:rPr>
          <w:rFonts w:hint="eastAsia"/>
        </w:rPr>
        <w:t>造成</w:t>
      </w:r>
      <w:r>
        <w:t>明显影响。</w:t>
      </w:r>
    </w:p>
    <w:p>
      <w:pPr>
        <w:pStyle w:val="25"/>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textAlignment w:val="auto"/>
        <w:rPr>
          <w:rFonts w:hint="default"/>
          <w:szCs w:val="22"/>
          <w:lang w:val="en-US" w:eastAsia="zh-CN"/>
        </w:rPr>
      </w:pPr>
      <w:bookmarkStart w:id="35" w:name="_Toc9494719"/>
      <w:bookmarkStart w:id="36" w:name="_Toc687_WPSOffice_Level1"/>
      <w:bookmarkStart w:id="37" w:name="_Toc10544258"/>
      <w:bookmarkStart w:id="38" w:name="_Toc9437604"/>
      <w:bookmarkStart w:id="39" w:name="_Toc27025_WPSOffice_Level1"/>
      <w:bookmarkStart w:id="40" w:name="_Toc29327_WPSOffice_Level1"/>
      <w:r>
        <w:rPr>
          <w:rFonts w:hint="default"/>
          <w:szCs w:val="22"/>
          <w:lang w:val="en-US" w:eastAsia="zh-CN"/>
        </w:rPr>
        <w:t>7</w:t>
      </w:r>
      <w:r>
        <w:rPr>
          <w:rFonts w:hint="eastAsia"/>
          <w:szCs w:val="22"/>
          <w:lang w:val="en-US" w:eastAsia="zh-CN"/>
        </w:rPr>
        <w:t xml:space="preserve">  </w:t>
      </w:r>
      <w:bookmarkEnd w:id="35"/>
      <w:bookmarkEnd w:id="36"/>
      <w:bookmarkEnd w:id="37"/>
      <w:bookmarkEnd w:id="38"/>
      <w:bookmarkEnd w:id="39"/>
      <w:bookmarkEnd w:id="40"/>
      <w:r>
        <w:rPr>
          <w:rFonts w:hint="eastAsia"/>
          <w:szCs w:val="22"/>
          <w:lang w:val="en-US" w:eastAsia="zh-CN"/>
        </w:rPr>
        <w:t>运输</w:t>
      </w:r>
      <w:bookmarkStart w:id="41" w:name="_Toc9494720"/>
      <w:bookmarkStart w:id="42" w:name="_Toc7877_WPSOffice_Level2"/>
      <w:bookmarkStart w:id="43" w:name="_Toc27253_WPSOffice_Level2"/>
      <w:bookmarkStart w:id="44" w:name="_Toc9437605"/>
      <w:bookmarkStart w:id="45" w:name="_Toc15115_WPSOffice_Level2"/>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 xml:space="preserve">7.1  </w:t>
      </w:r>
      <w:bookmarkEnd w:id="41"/>
      <w:bookmarkEnd w:id="42"/>
      <w:bookmarkEnd w:id="43"/>
      <w:bookmarkEnd w:id="44"/>
      <w:bookmarkEnd w:id="45"/>
      <w:r>
        <w:rPr>
          <w:rFonts w:hint="default"/>
          <w:szCs w:val="22"/>
        </w:rPr>
        <w:t>运输方式</w:t>
      </w:r>
    </w:p>
    <w:p>
      <w:pPr>
        <w:widowControl/>
        <w:ind w:firstLine="420" w:firstLineChars="200"/>
        <w:jc w:val="left"/>
        <w:rPr>
          <w:rFonts w:hint="eastAsia" w:ascii="宋体" w:hAnsi="宋体" w:cs="宋体"/>
          <w:kern w:val="0"/>
          <w:sz w:val="22"/>
          <w:szCs w:val="22"/>
        </w:rPr>
      </w:pPr>
      <w:r>
        <w:rPr>
          <w:rFonts w:hint="eastAsia" w:ascii="宋体" w:cs="宋体"/>
          <w:szCs w:val="21"/>
        </w:rPr>
        <w:t>运输方式</w:t>
      </w:r>
      <w:r>
        <w:rPr>
          <w:rFonts w:ascii="宋体" w:cs="宋体"/>
          <w:szCs w:val="21"/>
        </w:rPr>
        <w:t>和运输工具参照SB/T 10448</w:t>
      </w:r>
      <w:r>
        <w:rPr>
          <w:rFonts w:hint="eastAsia" w:ascii="宋体" w:cs="宋体"/>
          <w:szCs w:val="21"/>
        </w:rPr>
        <w:t>的</w:t>
      </w:r>
      <w:r>
        <w:rPr>
          <w:rFonts w:ascii="宋体" w:cs="宋体"/>
          <w:szCs w:val="21"/>
        </w:rPr>
        <w:t>相关规定和要求</w:t>
      </w:r>
      <w:r>
        <w:rPr>
          <w:rFonts w:hint="eastAsia" w:ascii="宋体" w:cs="宋体"/>
          <w:szCs w:val="21"/>
        </w:rPr>
        <w:t>。</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bookmarkStart w:id="46" w:name="_Toc9437611"/>
      <w:bookmarkStart w:id="47" w:name="_Toc9494726"/>
      <w:r>
        <w:rPr>
          <w:rFonts w:hint="default"/>
          <w:szCs w:val="22"/>
        </w:rPr>
        <w:t xml:space="preserve">7.2  </w:t>
      </w:r>
      <w:bookmarkEnd w:id="46"/>
      <w:bookmarkEnd w:id="47"/>
      <w:r>
        <w:rPr>
          <w:rFonts w:hint="default"/>
          <w:szCs w:val="22"/>
        </w:rPr>
        <w:t>运输条件</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7.2.1  环境条件</w:t>
      </w:r>
    </w:p>
    <w:p>
      <w:pPr>
        <w:ind w:firstLine="420" w:firstLineChars="200"/>
        <w:rPr>
          <w:rFonts w:hint="eastAsia"/>
        </w:rPr>
      </w:pPr>
      <w:r>
        <w:rPr>
          <w:rFonts w:hint="eastAsia"/>
        </w:rPr>
        <w:t>运输过程</w:t>
      </w:r>
      <w:r>
        <w:t>中的温度</w:t>
      </w:r>
      <w:r>
        <w:rPr>
          <w:rFonts w:hint="eastAsia"/>
        </w:rPr>
        <w:t>、</w:t>
      </w:r>
      <w:r>
        <w:t>相对湿度</w:t>
      </w:r>
      <w:r>
        <w:rPr>
          <w:rFonts w:hint="eastAsia"/>
        </w:rPr>
        <w:t>和</w:t>
      </w:r>
      <w:r>
        <w:t>通风换气等</w:t>
      </w:r>
      <w:r>
        <w:rPr>
          <w:rFonts w:hint="eastAsia"/>
        </w:rPr>
        <w:t>条件</w:t>
      </w:r>
      <w:r>
        <w:t>与贮藏</w:t>
      </w:r>
      <w:r>
        <w:rPr>
          <w:rFonts w:hint="eastAsia"/>
        </w:rPr>
        <w:t>要求</w:t>
      </w:r>
      <w:r>
        <w:t>基本一致</w:t>
      </w:r>
      <w:r>
        <w:rPr>
          <w:rFonts w:hint="eastAsia"/>
        </w:rPr>
        <w:t>。</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rPr>
      </w:pPr>
      <w:r>
        <w:rPr>
          <w:rFonts w:hint="default"/>
          <w:szCs w:val="22"/>
        </w:rPr>
        <w:t>7.2.1  卫生条件</w:t>
      </w:r>
    </w:p>
    <w:p>
      <w:pPr>
        <w:ind w:firstLine="420" w:firstLineChars="200"/>
        <w:jc w:val="left"/>
        <w:rPr>
          <w:rFonts w:hint="eastAsia" w:ascii="宋体" w:cs="宋体"/>
          <w:szCs w:val="21"/>
        </w:rPr>
      </w:pPr>
      <w:r>
        <w:rPr>
          <w:rFonts w:hint="eastAsia" w:ascii="宋体" w:cs="宋体"/>
          <w:szCs w:val="21"/>
        </w:rPr>
        <w:t>运输车厢</w:t>
      </w:r>
      <w:r>
        <w:rPr>
          <w:rFonts w:ascii="宋体" w:cs="宋体"/>
          <w:szCs w:val="21"/>
        </w:rPr>
        <w:t>、</w:t>
      </w:r>
      <w:r>
        <w:rPr>
          <w:rFonts w:hint="eastAsia" w:ascii="宋体" w:cs="宋体"/>
          <w:szCs w:val="21"/>
        </w:rPr>
        <w:t>遮盖物</w:t>
      </w:r>
      <w:r>
        <w:rPr>
          <w:rFonts w:ascii="宋体" w:cs="宋体"/>
          <w:szCs w:val="21"/>
        </w:rPr>
        <w:t>和隔层材料等</w:t>
      </w:r>
      <w:r>
        <w:rPr>
          <w:rFonts w:hint="eastAsia" w:ascii="宋体" w:cs="宋体"/>
          <w:szCs w:val="21"/>
        </w:rPr>
        <w:t>应</w:t>
      </w:r>
      <w:r>
        <w:rPr>
          <w:rFonts w:ascii="宋体" w:cs="宋体"/>
          <w:szCs w:val="21"/>
        </w:rPr>
        <w:t>保持清洁卫生</w:t>
      </w:r>
      <w:r>
        <w:rPr>
          <w:rFonts w:hint="eastAsia" w:ascii="宋体" w:cs="宋体"/>
          <w:szCs w:val="21"/>
        </w:rPr>
        <w:t>、</w:t>
      </w:r>
      <w:r>
        <w:rPr>
          <w:rFonts w:ascii="宋体" w:cs="宋体"/>
          <w:szCs w:val="21"/>
        </w:rPr>
        <w:t>无毒</w:t>
      </w:r>
      <w:r>
        <w:rPr>
          <w:rFonts w:hint="eastAsia" w:ascii="宋体" w:cs="宋体"/>
          <w:szCs w:val="21"/>
        </w:rPr>
        <w:t>、</w:t>
      </w:r>
      <w:r>
        <w:rPr>
          <w:rFonts w:ascii="宋体" w:cs="宋体"/>
          <w:szCs w:val="21"/>
        </w:rPr>
        <w:t>无害</w:t>
      </w:r>
      <w:r>
        <w:rPr>
          <w:rFonts w:hint="eastAsia" w:ascii="宋体" w:cs="宋体"/>
          <w:szCs w:val="21"/>
        </w:rPr>
        <w:t>、</w:t>
      </w:r>
      <w:r>
        <w:rPr>
          <w:rFonts w:ascii="宋体" w:cs="宋体"/>
          <w:szCs w:val="21"/>
        </w:rPr>
        <w:t>无异味，避免与其他货物混装，码垛要稳固</w:t>
      </w:r>
      <w:r>
        <w:rPr>
          <w:rFonts w:hint="eastAsia" w:ascii="宋体" w:cs="宋体"/>
          <w:szCs w:val="21"/>
        </w:rPr>
        <w:t>。</w:t>
      </w:r>
    </w:p>
    <w:p>
      <w:pPr>
        <w:pStyle w:val="25"/>
        <w:numPr>
          <w:ilvl w:val="0"/>
          <w:numId w:val="0"/>
        </w:numPr>
        <w:spacing w:beforeLines="0" w:afterLines="0"/>
      </w:pPr>
    </w:p>
    <w:p>
      <w:pPr>
        <w:numPr>
          <w:ilvl w:val="0"/>
          <w:numId w:val="0"/>
        </w:numPr>
        <w:jc w:val="center"/>
        <w:rPr>
          <w:rFonts w:hint="default" w:ascii="宋体" w:hAnsi="宋体" w:cs="宋体"/>
          <w:kern w:val="2"/>
          <w:sz w:val="21"/>
          <w:szCs w:val="24"/>
          <w:vertAlign w:val="baseline"/>
          <w:lang w:val="en-US" w:eastAsia="zh-CN" w:bidi="ar-SA"/>
        </w:rPr>
      </w:pPr>
      <w:r>
        <w:t>_________________________________</w:t>
      </w:r>
    </w:p>
    <w:p/>
    <w:p/>
    <w:p/>
    <w:p/>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Q/YTZ 0</w:t>
    </w:r>
    <w:r>
      <w:rPr>
        <w:rFonts w:hint="eastAsia"/>
        <w:lang w:val="en-US" w:eastAsia="zh-CN"/>
      </w:rPr>
      <w:t>24</w:t>
    </w:r>
    <w:r>
      <w:t>.5—202</w:t>
    </w:r>
    <w:r>
      <w:rPr>
        <w:rFonts w:hint="eastAsia"/>
        <w:lang w:val="en-US" w:eastAsia="zh-CN"/>
      </w:rPr>
      <w:t>2</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B0C3D"/>
    <w:rsid w:val="57045509"/>
    <w:rsid w:val="610B0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其他标准标志"/>
    <w:basedOn w:val="7"/>
    <w:qFormat/>
    <w:uiPriority w:val="0"/>
    <w:pPr>
      <w:framePr w:w="6101" w:vAnchor="page" w:hAnchor="page" w:x="4673" w:y="942"/>
    </w:pPr>
    <w:rPr>
      <w:w w:val="130"/>
    </w:rPr>
  </w:style>
  <w:style w:type="paragraph" w:customStyle="1" w:styleId="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
    <w:name w:val="封面标准英文名称"/>
    <w:basedOn w:val="11"/>
    <w:qFormat/>
    <w:uiPriority w:val="0"/>
    <w:pPr>
      <w:spacing w:before="370" w:line="400" w:lineRule="exact"/>
    </w:pPr>
    <w:rPr>
      <w:rFonts w:ascii="Times New Roman"/>
      <w:sz w:val="28"/>
      <w:szCs w:val="28"/>
    </w:rPr>
  </w:style>
  <w:style w:type="paragraph" w:customStyle="1" w:styleId="13">
    <w:name w:val="封面一致性程度标识"/>
    <w:basedOn w:val="12"/>
    <w:qFormat/>
    <w:uiPriority w:val="0"/>
    <w:pPr>
      <w:spacing w:before="440"/>
    </w:pPr>
    <w:rPr>
      <w:rFonts w:ascii="宋体" w:eastAsia="宋体"/>
    </w:rPr>
  </w:style>
  <w:style w:type="paragraph" w:customStyle="1" w:styleId="14">
    <w:name w:val="其他发布日期"/>
    <w:basedOn w:val="15"/>
    <w:qFormat/>
    <w:uiPriority w:val="0"/>
    <w:pPr>
      <w:framePr w:vAnchor="page" w:hAnchor="page" w:x="1419"/>
    </w:pPr>
  </w:style>
  <w:style w:type="paragraph" w:customStyle="1" w:styleId="1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6">
    <w:name w:val="其他实施日期"/>
    <w:basedOn w:val="17"/>
    <w:qFormat/>
    <w:uiPriority w:val="0"/>
  </w:style>
  <w:style w:type="paragraph" w:customStyle="1" w:styleId="17">
    <w:name w:val="实施日期"/>
    <w:basedOn w:val="15"/>
    <w:qFormat/>
    <w:uiPriority w:val="0"/>
    <w:pPr>
      <w:framePr w:vAnchor="page" w:hAnchor="page"/>
      <w:jc w:val="right"/>
    </w:pPr>
  </w:style>
  <w:style w:type="paragraph" w:customStyle="1" w:styleId="18">
    <w:name w:val="其他发布部门"/>
    <w:basedOn w:val="19"/>
    <w:qFormat/>
    <w:uiPriority w:val="0"/>
    <w:pPr>
      <w:framePr w:y="15310"/>
      <w:spacing w:line="0" w:lineRule="atLeast"/>
    </w:pPr>
    <w:rPr>
      <w:rFonts w:ascii="黑体" w:eastAsia="黑体"/>
      <w:b w:val="0"/>
    </w:rPr>
  </w:style>
  <w:style w:type="paragraph" w:customStyle="1" w:styleId="19">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发布"/>
    <w:qFormat/>
    <w:uiPriority w:val="0"/>
    <w:rPr>
      <w:rFonts w:ascii="黑体" w:eastAsia="黑体"/>
      <w:spacing w:val="85"/>
      <w:w w:val="100"/>
      <w:position w:val="3"/>
      <w:sz w:val="28"/>
      <w:szCs w:val="28"/>
    </w:rPr>
  </w:style>
  <w:style w:type="paragraph" w:customStyle="1" w:styleId="2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章标题"/>
    <w:next w:val="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2021-12-29T07:38:00Z</dcterms:created>
  <dc:creator>仲夏夜之梦</dc:creator>
  <cp:lastModifiedBy>仲夏夜之梦</cp:lastModifiedBy>
  <dcterms:modified xsi:type="dcterms:W3CDTF">2021-12-29T08:02:58Z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1A71F933F26349E0AD3592B324DC5E22</vt:lpwstr>
  </property>
</Properties>
</file>