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Q/</w:t>
      </w:r>
      <w:bookmarkStart w:id="0" w:name="c5"/>
      <w:r>
        <w:fldChar w:fldCharType="begin">
          <w:ffData>
            <w:name w:val="c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YTZ</w:t>
      </w:r>
      <w:r>
        <w:fldChar w:fldCharType="end"/>
      </w:r>
      <w:bookmarkEnd w:id="0"/>
    </w:p>
    <w:p>
      <w:pPr>
        <w:pStyle w:val="9"/>
        <w:framePr w:w="9560" w:x="1215" w:y="2266"/>
        <w:rPr>
          <w:rFonts w:ascii="Times New Roman" w:hAnsi="Times New Roman"/>
        </w:rPr>
      </w:pPr>
      <w:bookmarkStart w:id="1" w:name="c6"/>
      <w:r>
        <w:fldChar w:fldCharType="begin">
          <w:ffData>
            <w:name w:val="c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云南天质弘耕科技有限公司</w:t>
      </w:r>
      <w:r>
        <w:fldChar w:fldCharType="end"/>
      </w:r>
      <w:bookmarkEnd w:id="1"/>
      <w:r>
        <w:rPr>
          <w:rFonts w:hint="eastAsia"/>
        </w:rPr>
        <w:t>企业标</w:t>
      </w:r>
      <w:r>
        <w:rPr>
          <w:rFonts w:hint="eastAsia" w:ascii="Times New Roman" w:hAnsi="Times New Roman"/>
        </w:rPr>
        <w:t>准</w:t>
      </w:r>
    </w:p>
    <w:p>
      <w:pPr>
        <w:pStyle w:val="10"/>
        <w:rPr>
          <w:rFonts w:hAnsi="黑体"/>
        </w:rPr>
      </w:pPr>
      <w:r>
        <w:rPr>
          <w:rFonts w:ascii="Times New Roman"/>
        </w:rPr>
        <w:t>Q/</w:t>
      </w:r>
      <w:bookmarkStart w:id="2" w:name="StdNo0"/>
      <w:r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XXX"/>
            </w:textInput>
          </w:ffData>
        </w:fldChar>
      </w:r>
      <w:r>
        <w:rPr>
          <w:rFonts w:ascii="Times New Roman"/>
        </w:rPr>
        <w:instrText xml:space="preserve"> FORMTEXT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Y</w:t>
      </w:r>
      <w:r>
        <w:rPr>
          <w:rFonts w:hint="eastAsia" w:ascii="Times New Roman"/>
        </w:rPr>
        <w:t>TZ</w:t>
      </w:r>
      <w:r>
        <w:rPr>
          <w:rFonts w:ascii="Times New Roman"/>
        </w:rPr>
        <w:fldChar w:fldCharType="end"/>
      </w:r>
      <w:bookmarkEnd w:id="2"/>
      <w:r>
        <w:rPr>
          <w:rFonts w:hAnsi="黑体"/>
        </w:rPr>
        <w:t xml:space="preserve"> </w:t>
      </w:r>
      <w:bookmarkStart w:id="3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0</w:t>
      </w:r>
      <w:r>
        <w:rPr>
          <w:rFonts w:hint="eastAsia" w:hAnsi="黑体"/>
          <w:lang w:val="en-US" w:eastAsia="zh-CN"/>
        </w:rPr>
        <w:t>24</w:t>
      </w:r>
      <w:r>
        <w:rPr>
          <w:rFonts w:hint="eastAsia" w:hAnsi="黑体"/>
        </w:rPr>
        <w:t>.1</w:t>
      </w:r>
      <w:r>
        <w:rPr>
          <w:rFonts w:hAnsi="黑体"/>
        </w:rPr>
        <w:fldChar w:fldCharType="end"/>
      </w:r>
      <w:bookmarkEnd w:id="3"/>
      <w:r>
        <w:rPr>
          <w:rFonts w:hAnsi="黑体"/>
        </w:rPr>
        <w:t>—</w:t>
      </w:r>
      <w:bookmarkStart w:id="4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202</w:t>
      </w:r>
      <w:r>
        <w:rPr>
          <w:rFonts w:hint="eastAsia" w:hAnsi="黑体"/>
          <w:lang w:val="en-US" w:eastAsia="zh-CN"/>
        </w:rPr>
        <w:t>2</w:t>
      </w:r>
      <w:r>
        <w:rPr>
          <w:rFonts w:hAnsi="黑体"/>
        </w:rPr>
        <w:fldChar w:fldCharType="end"/>
      </w:r>
      <w:bookmarkEnd w:id="4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</w:pPr>
            <w:bookmarkStart w:id="5" w:name="DT"/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2.8pt;margin-top:2.7pt;height:18pt;width:90pt;z-index:-251657216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e&#10;YPLL1gAAAAgBAAAPAAAAAAAAAAEAIAAAACIAAABkcnMvZG93bnJldi54bWxQSwECFAAUAAAACACH&#10;TuJAl7vFRrQBAABqAwAADgAAAAAAAAABACAAAAAl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5"/>
          </w:p>
        </w:tc>
      </w:tr>
    </w:tbl>
    <w:p>
      <w:pPr>
        <w:pStyle w:val="10"/>
        <w:rPr>
          <w:rFonts w:hAnsi="黑体"/>
        </w:rPr>
      </w:pPr>
    </w:p>
    <w:p>
      <w:pPr>
        <w:pStyle w:val="10"/>
        <w:rPr>
          <w:rFonts w:hAnsi="黑体"/>
        </w:rPr>
      </w:pPr>
    </w:p>
    <w:p>
      <w:pPr>
        <w:pStyle w:val="1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大豆</w:t>
      </w:r>
    </w:p>
    <w:p>
      <w:pPr>
        <w:pStyle w:val="12"/>
      </w:pPr>
      <w:r>
        <w:rPr>
          <w:rFonts w:hint="eastAsia"/>
        </w:rPr>
        <w:t>第1部分：化肥施用限量</w:t>
      </w:r>
    </w:p>
    <w:p>
      <w:pPr>
        <w:pStyle w:val="13"/>
        <w:rPr>
          <w:sz w:val="52"/>
          <w:szCs w:val="52"/>
        </w:rPr>
      </w:pPr>
    </w:p>
    <w:p>
      <w:pPr>
        <w:pStyle w:val="14"/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3.3pt;margin-top:45.15pt;height:20pt;width:150pt;z-index:-251655168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Ymu&#10;ktUAAAAKAQAADwAAAAAAAAABACAAAAAiAAAAZHJzL2Rvd25yZXYueG1sUEsBAhQAFAAAAAgAh07i&#10;QOkljmGzAQAAagMAAA4AAAAAAAAAAQAgAAAAJAEAAGRycy9lMm9Eb2MueG1sUEsFBgAAAAAGAAYA&#10;WQEAAEk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3pt;margin-top:20.15pt;height:24pt;width:100pt;z-index:-251656192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+GL&#10;5dYAAAAJAQAADwAAAAAAAAABACAAAAAiAAAAZHJzL2Rvd25yZXYueG1sUEsBAhQAFAAAAAgAh07i&#10;QJhaEe+yAQAAagMAAA4AAAAAAAAAAQAgAAAAJQEAAGRycy9lMm9Eb2MueG1sUEsFBgAAAAAGAAYA&#10;WQEAAEk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6"/>
            </w:pPr>
          </w:p>
        </w:tc>
      </w:tr>
    </w:tbl>
    <w:p>
      <w:pPr>
        <w:pStyle w:val="17"/>
        <w:framePr w:hAnchor="page" w:x="1231" w:y="14131"/>
      </w:pPr>
      <w:bookmarkStart w:id="6" w:name="FY"/>
      <w:r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rPr>
          <w:rFonts w:ascii="黑体"/>
        </w:rPr>
        <w:fldChar w:fldCharType="end"/>
      </w:r>
      <w:bookmarkEnd w:id="6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-20955</wp:posOffset>
                </wp:positionH>
                <wp:positionV relativeFrom="page">
                  <wp:posOffset>-3385185</wp:posOffset>
                </wp:positionV>
                <wp:extent cx="612013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-266.55pt;height:0pt;width:481.9pt;mso-position-vertical-relative:page;z-index:251662336;mso-width-relative:page;mso-height-relative:page;" filled="f" stroked="t" coordsize="21600,21600" o:gfxdata="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6&#10;8BEj1wAAAAwBAAAPAAAAAAAAAAEAIAAAACIAAABkcnMvZG93bnJldi54bWxQSwECFAAUAAAACACH&#10;TuJA0GsHAe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9"/>
        <w:framePr w:vAnchor="page" w:hAnchor="page" w:x="6870" w:y="14086"/>
      </w:pPr>
      <w:bookmarkStart w:id="7" w:name="SY"/>
      <w:r>
        <w:rPr>
          <w:rFonts w:ascii="黑体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rPr>
          <w:rFonts w:ascii="黑体"/>
        </w:rPr>
        <w:fldChar w:fldCharType="end"/>
      </w:r>
      <w:bookmarkEnd w:id="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</w:t>
      </w:r>
      <w:r>
        <w:rPr>
          <w:rFonts w:hint="eastAsia" w:ascii="黑体"/>
          <w:lang w:val="en-US" w:eastAsia="zh-CN"/>
        </w:rP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15</w:t>
      </w: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-3574415</wp:posOffset>
                </wp:positionH>
                <wp:positionV relativeFrom="page">
                  <wp:posOffset>-6227445</wp:posOffset>
                </wp:positionV>
                <wp:extent cx="612013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1.45pt;margin-top:-490.35pt;height:0pt;width:481.9pt;mso-position-vertical-relative:page;z-index:251663360;mso-width-relative:page;mso-height-relative:page;" filled="f" stroked="t" coordsize="21600,21600" o:gfxdata="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RprLdkAAAAOAQAADwAAAAAAAAABACAAAAAiAAAAZHJzL2Rvd25yZXYueG1sUEsBAhQAFAAAAAgA&#10;h07iQGtghx7rAQAA2AMAAA4AAAAAAAAAAQAgAAAAK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</w:rPr>
        <w:t>实施</w:t>
      </w:r>
    </w:p>
    <w:p>
      <w:pPr>
        <w:pStyle w:val="21"/>
      </w:pPr>
      <w:bookmarkStart w:id="8" w:name="fm"/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云南天质弘耕科技有限公司</w:t>
      </w:r>
      <w:r>
        <w:t>    </w:t>
      </w:r>
      <w:r>
        <w:fldChar w:fldCharType="end"/>
      </w:r>
      <w:bookmarkEnd w:id="8"/>
      <w:r>
        <w:rPr>
          <w:rFonts w:hint="eastAsia" w:ascii="MS Mincho" w:hAnsi="MS Mincho" w:eastAsia="MS Mincho" w:cs="MS Mincho"/>
        </w:rPr>
        <w:t>   </w:t>
      </w:r>
      <w:r>
        <w:rPr>
          <w:rStyle w:val="24"/>
          <w:rFonts w:hint="eastAsia"/>
        </w:rPr>
        <w:t>发布</w: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-118110</wp:posOffset>
                </wp:positionH>
                <wp:positionV relativeFrom="page">
                  <wp:posOffset>9317355</wp:posOffset>
                </wp:positionV>
                <wp:extent cx="612013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3pt;margin-top:733.65pt;height:0pt;width:481.9pt;mso-position-vertical-relative:page;z-index:251665408;mso-width-relative:page;mso-height-relative:page;" filled="f" stroked="t" coordsize="21600,21600" o:gfxdata="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s9fptgAAAANAQAADwAAAAAAAAABACAAAAAiAAAAZHJzL2Rvd25yZXYueG1sUEsBAhQAFAAAAAgA&#10;h07iQI6rg53sAQAA2A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-156210</wp:posOffset>
                </wp:positionH>
                <wp:positionV relativeFrom="page">
                  <wp:posOffset>2735580</wp:posOffset>
                </wp:positionV>
                <wp:extent cx="61201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3pt;margin-top:215.4pt;height:0pt;width:481.9pt;mso-position-vertical-relative:page;z-index:251664384;mso-width-relative:page;mso-height-relative:page;" filled="f" stroked="t" coordsize="21600,21600" o:gfxdata="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9&#10;ICt52AAAAAsBAAAPAAAAAAAAAAEAIAAAACIAAABkcnMvZG93bnJldi54bWxQSwECFAAUAAAACACH&#10;TuJAexYvX+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/>
    <w:p>
      <w:bookmarkStart w:id="10" w:name="_GoBack"/>
      <w:bookmarkEnd w:id="10"/>
    </w:p>
    <w:p/>
    <w:p/>
    <w:p/>
    <w:p/>
    <w:p>
      <w:pPr>
        <w:pStyle w:val="25"/>
        <w:jc w:val="center"/>
        <w:rPr>
          <w:rFonts w:hint="eastAsia"/>
        </w:rPr>
        <w:sectPr>
          <w:headerReference r:id="rId3" w:type="default"/>
          <w:pgSz w:w="11906" w:h="16838"/>
          <w:pgMar w:top="567" w:right="1134" w:bottom="1134" w:left="1417" w:header="1417" w:footer="1134" w:gutter="0"/>
          <w:cols w:space="425" w:num="1"/>
          <w:docGrid w:type="lines" w:linePitch="312" w:charSpace="0"/>
        </w:sectPr>
      </w:pPr>
    </w:p>
    <w:p>
      <w:pPr>
        <w:pStyle w:val="25"/>
        <w:jc w:val="center"/>
      </w:pPr>
      <w:r>
        <w:rPr>
          <w:rFonts w:hint="eastAsia"/>
        </w:rPr>
        <w:t>前</w:t>
      </w:r>
      <w:bookmarkStart w:id="9" w:name="BKQY"/>
      <w:r>
        <w:rPr>
          <w:rFonts w:hint="eastAsia" w:ascii="MS Mincho" w:hAnsi="MS Mincho" w:eastAsia="MS Mincho" w:cs="MS Mincho"/>
        </w:rPr>
        <w:t>  </w:t>
      </w:r>
      <w:r>
        <w:rPr>
          <w:rFonts w:hint="eastAsia"/>
        </w:rPr>
        <w:t>言</w:t>
      </w:r>
      <w:bookmarkEnd w:id="9"/>
    </w:p>
    <w:p>
      <w:pPr>
        <w:pStyle w:val="23"/>
      </w:pPr>
      <w:r>
        <w:rPr>
          <w:rFonts w:hint="eastAsia"/>
        </w:rPr>
        <w:t>本文件按照GB/T 1.1-2020《标准化工作导则 第1部分：标准化文件的结构和起草规则》给出的规则起草。</w:t>
      </w:r>
    </w:p>
    <w:p>
      <w:pPr>
        <w:pStyle w:val="23"/>
      </w:pPr>
      <w:r>
        <w:rPr>
          <w:rFonts w:hint="eastAsia"/>
        </w:rPr>
        <w:t>本文件起草单位: 云南天质弘耕科技有限公司。</w:t>
      </w:r>
    </w:p>
    <w:p>
      <w:pPr>
        <w:pStyle w:val="23"/>
      </w:pPr>
      <w:r>
        <w:rPr>
          <w:rFonts w:hint="eastAsia"/>
        </w:rPr>
        <w:t>本文件主要起草人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李美琼、李佩龙、杨发宝。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both"/>
      </w:pPr>
    </w:p>
    <w:p>
      <w:pPr>
        <w:pStyle w:val="27"/>
        <w:spacing w:before="0" w:after="0" w:line="240" w:lineRule="auto"/>
        <w:rPr>
          <w:rFonts w:hint="eastAsia"/>
          <w:lang w:eastAsia="zh-CN"/>
        </w:rPr>
        <w:sectPr>
          <w:footerReference r:id="rId4" w:type="default"/>
          <w:pgSz w:w="11906" w:h="16838"/>
          <w:pgMar w:top="567" w:right="1134" w:bottom="1134" w:left="1417" w:header="1417" w:footer="1134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7"/>
        <w:spacing w:before="0" w:after="0" w:line="240" w:lineRule="auto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大豆</w:t>
      </w:r>
    </w:p>
    <w:p>
      <w:pPr>
        <w:pStyle w:val="23"/>
        <w:spacing w:after="624" w:afterLines="200"/>
        <w:ind w:firstLine="640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第1部分：化肥施用限量</w:t>
      </w:r>
    </w:p>
    <w:p>
      <w:pPr>
        <w:pStyle w:val="28"/>
        <w:spacing w:before="312" w:after="312"/>
      </w:pPr>
      <w:r>
        <w:rPr>
          <w:rFonts w:hint="eastAsia"/>
        </w:rPr>
        <w:t>范围</w:t>
      </w:r>
    </w:p>
    <w:p>
      <w:pPr>
        <w:pStyle w:val="23"/>
        <w:rPr>
          <w:szCs w:val="22"/>
        </w:rPr>
      </w:pPr>
      <w:r>
        <w:rPr>
          <w:rFonts w:hint="eastAsia"/>
          <w:szCs w:val="22"/>
        </w:rPr>
        <w:t>本文件规定了</w:t>
      </w:r>
      <w:r>
        <w:rPr>
          <w:rFonts w:hint="eastAsia"/>
          <w:szCs w:val="22"/>
          <w:lang w:eastAsia="zh-CN"/>
        </w:rPr>
        <w:t>大豆</w:t>
      </w:r>
      <w:r>
        <w:rPr>
          <w:rFonts w:hint="eastAsia"/>
          <w:szCs w:val="22"/>
        </w:rPr>
        <w:t>的相关术语和定义、土壤氮磷钾测定及化肥施用量。</w:t>
      </w:r>
    </w:p>
    <w:p>
      <w:pPr>
        <w:pStyle w:val="23"/>
        <w:rPr>
          <w:szCs w:val="22"/>
        </w:rPr>
      </w:pPr>
      <w:r>
        <w:rPr>
          <w:rFonts w:hint="eastAsia"/>
          <w:szCs w:val="22"/>
        </w:rPr>
        <w:t>本文件适用于</w:t>
      </w:r>
      <w:r>
        <w:rPr>
          <w:rFonts w:hint="eastAsia"/>
          <w:szCs w:val="22"/>
          <w:lang w:eastAsia="zh-CN"/>
        </w:rPr>
        <w:t>大豆</w:t>
      </w:r>
      <w:r>
        <w:rPr>
          <w:rFonts w:hint="eastAsia"/>
          <w:szCs w:val="22"/>
        </w:rPr>
        <w:t>种植的化肥限量施用。</w:t>
      </w:r>
    </w:p>
    <w:p>
      <w:pPr>
        <w:pStyle w:val="28"/>
        <w:spacing w:before="312" w:after="312"/>
      </w:pPr>
      <w:r>
        <w:rPr>
          <w:rFonts w:hint="eastAsia"/>
        </w:rPr>
        <w:t>规范性引用文件</w:t>
      </w:r>
    </w:p>
    <w:p>
      <w:pPr>
        <w:pStyle w:val="23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23"/>
      </w:pPr>
      <w:r>
        <w:rPr>
          <w:rFonts w:hint="eastAsia"/>
        </w:rPr>
        <w:t>GB/T 36197  土壤质量 土壤采样技术指南</w:t>
      </w:r>
    </w:p>
    <w:p>
      <w:pPr>
        <w:pStyle w:val="23"/>
      </w:pPr>
      <w:r>
        <w:rPr>
          <w:rFonts w:hint="eastAsia"/>
        </w:rPr>
        <w:t>NY/T 496  肥料合理使用准则通则</w:t>
      </w:r>
    </w:p>
    <w:p>
      <w:pPr>
        <w:pStyle w:val="23"/>
      </w:pPr>
      <w:r>
        <w:rPr>
          <w:rFonts w:hint="eastAsia"/>
        </w:rPr>
        <w:t>NY/T 889  土壤速效钾和缓效钾的测定</w:t>
      </w:r>
    </w:p>
    <w:p>
      <w:pPr>
        <w:pStyle w:val="23"/>
      </w:pPr>
      <w:r>
        <w:rPr>
          <w:rFonts w:hint="eastAsia"/>
        </w:rPr>
        <w:t>NY/T 1118  测土配方施肥技术规范</w:t>
      </w:r>
    </w:p>
    <w:p>
      <w:pPr>
        <w:pStyle w:val="23"/>
      </w:pPr>
      <w:r>
        <w:rPr>
          <w:rFonts w:hint="eastAsia"/>
        </w:rPr>
        <w:t>NY/T 1121.1—2004  土壤检测 第1部分：土壤样品的采集、处理和贮存</w:t>
      </w:r>
    </w:p>
    <w:p>
      <w:pPr>
        <w:pStyle w:val="23"/>
      </w:pPr>
      <w:r>
        <w:rPr>
          <w:rFonts w:hint="eastAsia"/>
        </w:rPr>
        <w:t>NY/T 1121.6—2004  土壤检测 第6部分：土壤有机质的测定</w:t>
      </w:r>
    </w:p>
    <w:p>
      <w:pPr>
        <w:pStyle w:val="23"/>
      </w:pPr>
      <w:r>
        <w:rPr>
          <w:rFonts w:hint="eastAsia"/>
        </w:rPr>
        <w:t>NY/T 1121.7—2004  土壤检测 第7部分：土壤有效磷的测定</w:t>
      </w:r>
    </w:p>
    <w:p>
      <w:pPr>
        <w:pStyle w:val="23"/>
      </w:pPr>
      <w:r>
        <w:rPr>
          <w:rFonts w:hint="eastAsia"/>
        </w:rPr>
        <w:t>NY/T 1121.24—2004  土壤检测 第24部分：土壤全氮的测定</w:t>
      </w:r>
    </w:p>
    <w:p>
      <w:pPr>
        <w:pStyle w:val="23"/>
      </w:pPr>
      <w:r>
        <w:rPr>
          <w:rFonts w:hint="eastAsia"/>
        </w:rPr>
        <w:t>NY/T 1634  耕地地力调查与质量评价技术规程</w:t>
      </w:r>
    </w:p>
    <w:p>
      <w:pPr>
        <w:pStyle w:val="28"/>
        <w:spacing w:before="312" w:after="312"/>
      </w:pPr>
      <w:r>
        <w:rPr>
          <w:rFonts w:hint="eastAsia"/>
        </w:rPr>
        <w:t>术语和定义</w:t>
      </w:r>
    </w:p>
    <w:p>
      <w:pPr>
        <w:pStyle w:val="23"/>
      </w:pPr>
      <w:r>
        <w:rPr>
          <w:rFonts w:hint="eastAsia"/>
        </w:rPr>
        <w:t>下列术语和定义适用于本文件。</w:t>
      </w:r>
    </w:p>
    <w:p>
      <w:pPr>
        <w:pStyle w:val="29"/>
        <w:spacing w:before="156" w:after="156"/>
      </w:pPr>
      <w:r>
        <w:rPr>
          <w:rFonts w:hint="eastAsia"/>
        </w:rPr>
        <w:t>　</w:t>
      </w:r>
    </w:p>
    <w:p>
      <w:pPr>
        <w:pStyle w:val="29"/>
        <w:numPr>
          <w:ilvl w:val="0"/>
          <w:numId w:val="0"/>
        </w:numPr>
        <w:spacing w:before="156" w:after="156"/>
      </w:pPr>
      <w:r>
        <w:rPr>
          <w:rFonts w:hint="eastAsia"/>
        </w:rPr>
        <w:t xml:space="preserve">    施肥限量</w:t>
      </w:r>
    </w:p>
    <w:p>
      <w:pPr>
        <w:pStyle w:val="23"/>
      </w:pPr>
      <w:r>
        <w:rPr>
          <w:rFonts w:hint="eastAsia"/>
        </w:rPr>
        <w:t>指综合采取测土配方、地力培肥、合理替代、精准施肥等措施，根据作物目标及养分吸收规律，制定作物化肥氮磷钾的最高使用量。</w:t>
      </w:r>
    </w:p>
    <w:p>
      <w:pPr>
        <w:pStyle w:val="28"/>
        <w:spacing w:before="312" w:after="312"/>
      </w:pPr>
      <w:r>
        <w:rPr>
          <w:rFonts w:hint="eastAsia"/>
        </w:rPr>
        <w:t>土壤氮磷钾测定</w:t>
      </w:r>
    </w:p>
    <w:p>
      <w:pPr>
        <w:pStyle w:val="29"/>
        <w:spacing w:before="156" w:after="156"/>
      </w:pPr>
      <w:r>
        <w:rPr>
          <w:rFonts w:hint="eastAsia"/>
        </w:rPr>
        <w:t>土壤样品采集和制备</w:t>
      </w:r>
    </w:p>
    <w:p>
      <w:pPr>
        <w:pStyle w:val="23"/>
      </w:pPr>
      <w:r>
        <w:rPr>
          <w:rFonts w:hint="eastAsia"/>
        </w:rPr>
        <w:t>土壤样品采集按照GB/T 36197的</w:t>
      </w:r>
      <w:r>
        <w:t>要求。土壤样品的制备按照NY/T 1121.1规定的方法进行。风干后的土壤样品按照不同的养分指标测试分析要求研磨过筛，充分混匀后，装入样品瓶中备用。</w:t>
      </w:r>
    </w:p>
    <w:p>
      <w:pPr>
        <w:pStyle w:val="29"/>
        <w:spacing w:before="156" w:after="156"/>
      </w:pPr>
      <w:r>
        <w:rPr>
          <w:rFonts w:hint="eastAsia"/>
        </w:rPr>
        <w:t>样品检测</w:t>
      </w:r>
    </w:p>
    <w:p>
      <w:pPr>
        <w:pStyle w:val="30"/>
        <w:numPr>
          <w:ilvl w:val="2"/>
          <w:numId w:val="0"/>
        </w:numPr>
        <w:spacing w:before="156" w:after="156"/>
        <w:jc w:val="both"/>
      </w:pPr>
      <w:r>
        <w:rPr>
          <w:rFonts w:hint="eastAsia"/>
        </w:rPr>
        <w:t>4.2.1  土壤全氮的测定</w:t>
      </w:r>
    </w:p>
    <w:p>
      <w:pPr>
        <w:pStyle w:val="23"/>
      </w:pPr>
      <w:r>
        <w:t>按NY/T 1121.24规定的方法测定。</w:t>
      </w:r>
    </w:p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>4.2.2  土壤有效磷的测定</w:t>
      </w:r>
    </w:p>
    <w:p>
      <w:pPr>
        <w:pStyle w:val="23"/>
      </w:pPr>
      <w:r>
        <w:t>按NY/T 1121.7规定的方法测定。</w:t>
      </w:r>
    </w:p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>4.2.3  土壤速效钾的测定</w:t>
      </w:r>
    </w:p>
    <w:p>
      <w:pPr>
        <w:pStyle w:val="23"/>
      </w:pPr>
      <w:r>
        <w:t>按NY/T 889规定的方法测定。</w:t>
      </w:r>
    </w:p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>4.2.4  土壤有机质的测定</w:t>
      </w:r>
    </w:p>
    <w:p>
      <w:pPr>
        <w:pStyle w:val="23"/>
      </w:pPr>
      <w:r>
        <w:t>按NY/T</w:t>
      </w:r>
      <w:r>
        <w:rPr>
          <w:rFonts w:hint="eastAsia"/>
        </w:rPr>
        <w:t xml:space="preserve"> 1121.6</w:t>
      </w:r>
      <w:r>
        <w:t>规定的方法测定。</w:t>
      </w:r>
    </w:p>
    <w:p>
      <w:pPr>
        <w:pStyle w:val="28"/>
        <w:spacing w:before="312" w:after="312"/>
      </w:pPr>
      <w:r>
        <w:rPr>
          <w:rFonts w:hint="eastAsia"/>
        </w:rPr>
        <w:t>化肥实施原则</w:t>
      </w:r>
    </w:p>
    <w:p>
      <w:pPr>
        <w:pStyle w:val="29"/>
        <w:spacing w:before="156" w:after="156"/>
      </w:pPr>
      <w:r>
        <w:rPr>
          <w:rFonts w:hint="eastAsia"/>
        </w:rPr>
        <w:t>诊断地力</w:t>
      </w:r>
    </w:p>
    <w:p>
      <w:pPr>
        <w:pStyle w:val="23"/>
      </w:pPr>
      <w:r>
        <w:rPr>
          <w:rFonts w:hint="eastAsia"/>
        </w:rPr>
        <w:t>参考NY/T 1634，结合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养分吸收规律，分类诊断相对应的土壤氮、磷、钾养分水平。</w:t>
      </w:r>
    </w:p>
    <w:p>
      <w:pPr>
        <w:pStyle w:val="29"/>
        <w:spacing w:before="156" w:after="156"/>
      </w:pPr>
      <w:r>
        <w:rPr>
          <w:rFonts w:hint="eastAsia"/>
        </w:rPr>
        <w:t>配肥方法</w:t>
      </w:r>
    </w:p>
    <w:p>
      <w:pPr>
        <w:pStyle w:val="23"/>
      </w:pPr>
      <w:r>
        <w:t>根据土壤氮磷钾测定值及相对应的</w:t>
      </w:r>
      <w:r>
        <w:rPr>
          <w:rFonts w:hint="eastAsia"/>
          <w:lang w:eastAsia="zh-CN"/>
        </w:rPr>
        <w:t>大豆</w:t>
      </w:r>
      <w:r>
        <w:t>氮磷钾限量标准，进行氮磷钾合理组合施肥。</w:t>
      </w:r>
    </w:p>
    <w:p>
      <w:pPr>
        <w:pStyle w:val="29"/>
        <w:spacing w:before="156" w:after="156"/>
      </w:pPr>
      <w:r>
        <w:rPr>
          <w:rFonts w:hint="eastAsia"/>
        </w:rPr>
        <w:t>施肥原则</w:t>
      </w:r>
    </w:p>
    <w:p>
      <w:pPr>
        <w:pStyle w:val="23"/>
      </w:pPr>
      <w:r>
        <w:t>依据</w:t>
      </w:r>
      <w:r>
        <w:rPr>
          <w:rFonts w:hint="eastAsia"/>
          <w:lang w:eastAsia="zh-CN"/>
        </w:rPr>
        <w:t>大豆</w:t>
      </w:r>
      <w:r>
        <w:t>目标产量及相对应的土壤养分现状，肥料施用按照NY/T 496的规定执行；合理协调有机无机养分比例，增施有机肥，种植绿肥，科学秸秆还田，培肥地力，控制化肥施用量，提高肥料利用率。</w:t>
      </w:r>
    </w:p>
    <w:p>
      <w:pPr>
        <w:pStyle w:val="28"/>
        <w:spacing w:before="312" w:after="312"/>
        <w:rPr>
          <w:rFonts w:hAnsi="黑体"/>
        </w:rPr>
      </w:pPr>
      <w:r>
        <w:rPr>
          <w:rFonts w:hint="eastAsia" w:hAnsi="黑体"/>
        </w:rPr>
        <w:t>肥料</w:t>
      </w:r>
      <w:r>
        <w:rPr>
          <w:rFonts w:hAnsi="黑体"/>
        </w:rPr>
        <w:t>施用量计算</w:t>
      </w:r>
    </w:p>
    <w:p>
      <w:pPr>
        <w:pStyle w:val="29"/>
        <w:spacing w:before="156" w:after="156"/>
        <w:rPr>
          <w:rFonts w:hAnsi="黑体"/>
        </w:rPr>
      </w:pPr>
      <w:r>
        <w:rPr>
          <w:rFonts w:hint="eastAsia" w:hAnsi="黑体"/>
        </w:rPr>
        <w:t>确定</w:t>
      </w:r>
      <w:r>
        <w:rPr>
          <w:rFonts w:hAnsi="黑体"/>
        </w:rPr>
        <w:t>肥料养分施用量方法</w:t>
      </w:r>
    </w:p>
    <w:p>
      <w:pPr>
        <w:pStyle w:val="30"/>
        <w:numPr>
          <w:ilvl w:val="2"/>
          <w:numId w:val="0"/>
        </w:numPr>
        <w:spacing w:before="156" w:after="156"/>
        <w:rPr>
          <w:rFonts w:hAnsi="黑体"/>
        </w:rPr>
      </w:pPr>
      <w:r>
        <w:rPr>
          <w:rFonts w:hint="eastAsia" w:hAnsi="黑体"/>
        </w:rPr>
        <w:t>6.1.1  养分</w:t>
      </w:r>
      <w:r>
        <w:rPr>
          <w:rFonts w:hAnsi="黑体"/>
        </w:rPr>
        <w:t>平衡</w:t>
      </w:r>
      <w:r>
        <w:rPr>
          <w:rFonts w:hint="eastAsia" w:hAnsi="黑体"/>
        </w:rPr>
        <w:t>法</w:t>
      </w:r>
    </w:p>
    <w:p>
      <w:pPr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根据作物</w:t>
      </w:r>
      <w:r>
        <w:rPr>
          <w:rFonts w:asciiTheme="minorEastAsia" w:hAnsiTheme="minorEastAsia" w:eastAsiaTheme="minorEastAsia"/>
        </w:rPr>
        <w:t>的</w:t>
      </w:r>
      <w:r>
        <w:rPr>
          <w:rFonts w:hint="eastAsia" w:asciiTheme="minorEastAsia" w:hAnsiTheme="minorEastAsia" w:eastAsiaTheme="minorEastAsia"/>
        </w:rPr>
        <w:t>目标</w:t>
      </w:r>
      <w:r>
        <w:rPr>
          <w:rFonts w:asciiTheme="minorEastAsia" w:hAnsiTheme="minorEastAsia" w:eastAsiaTheme="minorEastAsia"/>
        </w:rPr>
        <w:t>产量需肥量与土壤供肥量之差估算目标产量的施肥量，通过施肥</w:t>
      </w:r>
      <w:r>
        <w:rPr>
          <w:rFonts w:hint="eastAsia" w:asciiTheme="minorEastAsia" w:hAnsiTheme="minorEastAsia" w:eastAsiaTheme="minorEastAsia"/>
        </w:rPr>
        <w:t>补足</w:t>
      </w:r>
      <w:r>
        <w:rPr>
          <w:rFonts w:asciiTheme="minorEastAsia" w:hAnsiTheme="minorEastAsia" w:eastAsiaTheme="minorEastAsia"/>
        </w:rPr>
        <w:t>土壤供应不能满足农作物目标产量需要那部分</w:t>
      </w:r>
      <w:r>
        <w:rPr>
          <w:rFonts w:hint="eastAsia" w:asciiTheme="minorEastAsia" w:hAnsiTheme="minorEastAsia" w:eastAsiaTheme="minorEastAsia"/>
        </w:rPr>
        <w:t>养分</w:t>
      </w:r>
      <w:r>
        <w:rPr>
          <w:rFonts w:asciiTheme="minorEastAsia" w:hAnsiTheme="minorEastAsia" w:eastAsiaTheme="minorEastAsia"/>
        </w:rPr>
        <w:t>。施肥</w:t>
      </w:r>
      <w:r>
        <w:rPr>
          <w:rFonts w:hint="eastAsia" w:asciiTheme="minorEastAsia" w:hAnsiTheme="minorEastAsia" w:eastAsiaTheme="minorEastAsia"/>
        </w:rPr>
        <w:t>量</w:t>
      </w:r>
      <w:r>
        <w:rPr>
          <w:rFonts w:asciiTheme="minorEastAsia" w:hAnsiTheme="minorEastAsia" w:eastAsiaTheme="minorEastAsia"/>
        </w:rPr>
        <w:t>的计算公式为</w:t>
      </w:r>
      <w:r>
        <w:rPr>
          <w:rFonts w:hint="eastAsia" w:asciiTheme="minorEastAsia" w:hAnsiTheme="minorEastAsia" w:eastAsiaTheme="minorEastAsia"/>
        </w:rPr>
        <w:t>：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Theme="minorEastAsia"/>
              <w:sz w:val="20"/>
            </w:rPr>
            <m:t>施肥量</m:t>
          </m:r>
          <m:r>
            <m:rPr>
              <m:sty m:val="p"/>
            </m:rPr>
            <w:rPr>
              <w:rFonts w:ascii="Cambria Math" w:hAnsi="Cambria Math" w:eastAsiaTheme="minorEastAsia"/>
              <w:sz w:val="20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sz w:val="20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 w:val="20"/>
                </w:rPr>
                <m:t>目标产量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20"/>
                </w:rPr>
                <m:t>所需养分总量−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 w:val="20"/>
                </w:rPr>
                <m:t>土壤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20"/>
                </w:rPr>
                <m:t>供肥量</m:t>
              </m:r>
              <m:ctrlPr>
                <w:rPr>
                  <w:rFonts w:ascii="Cambria Math" w:hAnsi="Cambria Math" w:eastAsiaTheme="minorEastAsia"/>
                  <w:sz w:val="20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 w:val="20"/>
                </w:rPr>
                <m:t>肥料中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20"/>
                </w:rPr>
                <m:t>养分含量×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 w:val="20"/>
                </w:rPr>
                <m:t>肥料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 w:val="20"/>
                </w:rPr>
                <m:t>当季利用率</m:t>
              </m:r>
              <m:ctrlPr>
                <w:rPr>
                  <w:rFonts w:ascii="Cambria Math" w:hAnsi="Cambria Math" w:eastAsiaTheme="minorEastAsia"/>
                  <w:sz w:val="20"/>
                </w:rPr>
              </m:ctrlPr>
            </m:den>
          </m:f>
        </m:oMath>
      </m:oMathPara>
    </w:p>
    <w:p>
      <w:pPr>
        <w:rPr>
          <w:rFonts w:asciiTheme="minorEastAsia" w:hAnsiTheme="minorEastAsia" w:eastAsiaTheme="minorEastAsia"/>
        </w:rPr>
      </w:pPr>
    </w:p>
    <w:p>
      <w:pPr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养分</w:t>
      </w:r>
      <w:r>
        <w:rPr>
          <w:rFonts w:asciiTheme="minorEastAsia" w:hAnsiTheme="minorEastAsia" w:eastAsiaTheme="minorEastAsia"/>
        </w:rPr>
        <w:t>平衡法涉及目标产量、农作物需肥量、土壤供肥量、肥料利用率和肥料中有效养分含量五大参数。目标</w:t>
      </w:r>
      <w:r>
        <w:rPr>
          <w:rFonts w:hint="eastAsia" w:asciiTheme="minorEastAsia" w:hAnsiTheme="minorEastAsia" w:eastAsiaTheme="minorEastAsia"/>
        </w:rPr>
        <w:t>产量</w:t>
      </w:r>
      <w:r>
        <w:rPr>
          <w:rFonts w:asciiTheme="minorEastAsia" w:hAnsiTheme="minorEastAsia" w:eastAsiaTheme="minorEastAsia"/>
        </w:rPr>
        <w:t>确定后，</w:t>
      </w:r>
      <w:r>
        <w:rPr>
          <w:rFonts w:hint="eastAsia" w:asciiTheme="minorEastAsia" w:hAnsiTheme="minorEastAsia" w:eastAsiaTheme="minorEastAsia"/>
        </w:rPr>
        <w:t>根据</w:t>
      </w:r>
      <w:r>
        <w:rPr>
          <w:rFonts w:asciiTheme="minorEastAsia" w:hAnsiTheme="minorEastAsia" w:eastAsiaTheme="minorEastAsia"/>
        </w:rPr>
        <w:t>土壤有效养分</w:t>
      </w:r>
      <w:r>
        <w:rPr>
          <w:rFonts w:hint="eastAsia" w:asciiTheme="minorEastAsia" w:hAnsiTheme="minorEastAsia" w:eastAsiaTheme="minorEastAsia"/>
        </w:rPr>
        <w:t>校正</w:t>
      </w:r>
      <w:r>
        <w:rPr>
          <w:rFonts w:asciiTheme="minorEastAsia" w:hAnsiTheme="minorEastAsia" w:eastAsiaTheme="minorEastAsia"/>
        </w:rPr>
        <w:t>系数法来计算施肥量。其</w:t>
      </w:r>
      <w:r>
        <w:rPr>
          <w:rFonts w:hint="eastAsia" w:asciiTheme="minorEastAsia" w:hAnsiTheme="minorEastAsia" w:eastAsiaTheme="minorEastAsia"/>
        </w:rPr>
        <w:t>计算</w:t>
      </w:r>
      <w:r>
        <w:rPr>
          <w:rFonts w:asciiTheme="minorEastAsia" w:hAnsiTheme="minorEastAsia" w:eastAsiaTheme="minorEastAsia"/>
        </w:rPr>
        <w:t>公式为：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养分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施用量</m:t>
          </m:r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（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kg/</m:t>
          </m:r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亩）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作物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单位产量养分吸收量×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目标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产量−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土壤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养分含量×0.15×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有效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养分校正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系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数</m:t>
              </m:r>
              <m:ctrlPr>
                <w:rPr>
                  <w:rFonts w:ascii="Cambria Math" w:hAnsi="Cambria Math" w:eastAsiaTheme="minorEastAsia"/>
                  <w:szCs w:val="18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肥料利用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率</m:t>
              </m:r>
              <m:ctrlPr>
                <w:rPr>
                  <w:rFonts w:ascii="Cambria Math" w:hAnsi="Cambria Math" w:eastAsiaTheme="minorEastAsia"/>
                  <w:szCs w:val="18"/>
                </w:rPr>
              </m:ctrlPr>
            </m:den>
          </m:f>
        </m:oMath>
      </m:oMathPara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肥料施用量（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kg/</m:t>
          </m:r>
          <m:r>
            <m:rPr>
              <m:sty m:val="p"/>
            </m:rPr>
            <w:rPr>
              <w:rFonts w:hint="eastAsia" w:ascii="Cambria Math" w:hAnsi="Cambria Math" w:eastAsiaTheme="minorEastAsia"/>
              <w:szCs w:val="18"/>
            </w:rPr>
            <m:t>亩）</m:t>
          </m:r>
          <m:r>
            <m:rPr>
              <m:sty m:val="p"/>
            </m:rPr>
            <w:rPr>
              <w:rFonts w:ascii="Cambria Math" w:hAnsi="Cambria Math" w:eastAsiaTheme="minorEastAsia"/>
              <w:szCs w:val="18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作物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单位产量养分吸收量×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目标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产量−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土壤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养分含量×0.15×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有效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养分校正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系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数</m:t>
              </m:r>
              <m:ctrlPr>
                <w:rPr>
                  <w:rFonts w:ascii="Cambria Math" w:hAnsi="Cambria Math" w:eastAsiaTheme="minorEastAsia"/>
                  <w:szCs w:val="18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肥料中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养分含量×</m:t>
              </m:r>
              <m:r>
                <m:rPr>
                  <m:sty m:val="p"/>
                </m:rPr>
                <w:rPr>
                  <w:rFonts w:hint="eastAsia" w:ascii="Cambria Math" w:hAnsi="Cambria Math" w:eastAsiaTheme="minorEastAsia"/>
                  <w:szCs w:val="18"/>
                </w:rPr>
                <m:t>肥料利用</m:t>
              </m:r>
              <m:r>
                <m:rPr>
                  <m:sty m:val="p"/>
                </m:rPr>
                <w:rPr>
                  <w:rFonts w:ascii="Cambria Math" w:hAnsi="Cambria Math" w:eastAsiaTheme="minorEastAsia"/>
                  <w:szCs w:val="18"/>
                </w:rPr>
                <m:t>率</m:t>
              </m:r>
              <m:ctrlPr>
                <w:rPr>
                  <w:rFonts w:ascii="Cambria Math" w:hAnsi="Cambria Math" w:eastAsiaTheme="minorEastAsia"/>
                  <w:szCs w:val="18"/>
                </w:rPr>
              </m:ctrlPr>
            </m:den>
          </m:f>
        </m:oMath>
      </m:oMathPara>
    </w:p>
    <w:p>
      <w:pPr>
        <w:pStyle w:val="23"/>
        <w:ind w:firstLine="0" w:firstLineChars="0"/>
      </w:pPr>
    </w:p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>6.1.2  土壤肥力划分</w:t>
      </w:r>
    </w:p>
    <w:p>
      <w:pPr>
        <w:pStyle w:val="23"/>
      </w:pPr>
      <w:r>
        <w:rPr>
          <w:rFonts w:hint="eastAsia"/>
        </w:rPr>
        <w:t>土壤肥力等级划分标准见表1。</w:t>
      </w:r>
    </w:p>
    <w:p>
      <w:pPr>
        <w:pStyle w:val="31"/>
        <w:spacing w:before="156" w:after="156"/>
        <w:ind w:left="0"/>
      </w:pPr>
      <w:r>
        <w:rPr>
          <w:rFonts w:hint="eastAsia"/>
        </w:rPr>
        <w:t>表1  土壤肥力划分等级</w:t>
      </w:r>
    </w:p>
    <w:tbl>
      <w:tblPr>
        <w:tblStyle w:val="4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651"/>
        <w:gridCol w:w="2413"/>
        <w:gridCol w:w="2373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2413" w:type="dxa"/>
            <w:vMerge w:val="restart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碱解氮</w:t>
            </w:r>
          </w:p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mg/kg</w:t>
            </w:r>
          </w:p>
        </w:tc>
        <w:tc>
          <w:tcPr>
            <w:tcW w:w="2373" w:type="dxa"/>
            <w:vMerge w:val="restart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有效磷</w:t>
            </w:r>
          </w:p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mg/kg</w:t>
            </w:r>
          </w:p>
        </w:tc>
        <w:tc>
          <w:tcPr>
            <w:tcW w:w="2073" w:type="dxa"/>
            <w:vMerge w:val="restart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速效钾</w:t>
            </w:r>
          </w:p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651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含量</w:t>
            </w:r>
          </w:p>
        </w:tc>
        <w:tc>
          <w:tcPr>
            <w:tcW w:w="2413" w:type="dxa"/>
            <w:vMerge w:val="continue"/>
          </w:tcPr>
          <w:p>
            <w:pPr>
              <w:pStyle w:val="23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vMerge w:val="continue"/>
          </w:tcPr>
          <w:p>
            <w:pPr>
              <w:pStyle w:val="23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  <w:vMerge w:val="continue"/>
          </w:tcPr>
          <w:p>
            <w:pPr>
              <w:pStyle w:val="23"/>
              <w:ind w:firstLine="36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极高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＞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120～150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20～40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150～200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90～120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10～20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100～150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60～90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5～10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50～100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极低</w:t>
            </w:r>
          </w:p>
        </w:tc>
        <w:tc>
          <w:tcPr>
            <w:tcW w:w="241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23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73" w:type="dxa"/>
          </w:tcPr>
          <w:p>
            <w:pPr>
              <w:pStyle w:val="2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8" w:type="dxa"/>
            <w:gridSpan w:val="5"/>
          </w:tcPr>
          <w:p>
            <w:pPr>
              <w:pStyle w:val="23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注：数据出自全国第二次土壤普查及有关标准</w:t>
            </w:r>
          </w:p>
        </w:tc>
      </w:tr>
    </w:tbl>
    <w:p>
      <w:pPr>
        <w:pStyle w:val="30"/>
        <w:numPr>
          <w:ilvl w:val="2"/>
          <w:numId w:val="0"/>
        </w:numPr>
        <w:spacing w:before="156" w:after="156"/>
      </w:pPr>
      <w:r>
        <w:rPr>
          <w:rFonts w:hint="eastAsia"/>
        </w:rPr>
        <w:t xml:space="preserve">6.1.3  </w:t>
      </w:r>
      <w:r>
        <w:rPr>
          <w:rFonts w:hint="eastAsia"/>
          <w:lang w:eastAsia="zh-CN"/>
        </w:rPr>
        <w:t>大豆</w:t>
      </w:r>
      <w:r>
        <w:rPr>
          <w:rFonts w:hint="eastAsia"/>
        </w:rPr>
        <w:t>养分需求量</w:t>
      </w:r>
    </w:p>
    <w:p>
      <w:pPr>
        <w:pStyle w:val="23"/>
      </w:pPr>
      <w:r>
        <w:rPr>
          <w:rFonts w:hint="eastAsia"/>
          <w:lang w:eastAsia="zh-CN"/>
        </w:rPr>
        <w:t>大豆</w:t>
      </w:r>
      <w:r>
        <w:rPr>
          <w:rFonts w:hint="eastAsia"/>
        </w:rPr>
        <w:t>对氮、磷、钾三种养分的需求量见表2。</w:t>
      </w:r>
    </w:p>
    <w:p>
      <w:pPr>
        <w:pStyle w:val="31"/>
        <w:spacing w:before="156" w:after="156"/>
        <w:ind w:left="0"/>
        <w:rPr>
          <w:szCs w:val="22"/>
        </w:rPr>
      </w:pPr>
      <w:r>
        <w:rPr>
          <w:rFonts w:hint="eastAsia"/>
          <w:szCs w:val="22"/>
        </w:rPr>
        <w:t xml:space="preserve">表2  </w:t>
      </w:r>
      <w:r>
        <w:rPr>
          <w:rFonts w:hint="eastAsia"/>
          <w:szCs w:val="22"/>
          <w:lang w:eastAsia="zh-CN"/>
        </w:rPr>
        <w:t>大豆</w:t>
      </w:r>
      <w:r>
        <w:rPr>
          <w:rFonts w:hint="eastAsia"/>
          <w:szCs w:val="22"/>
        </w:rPr>
        <w:t>单位产量养分吸收量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414"/>
        <w:gridCol w:w="237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vMerge w:val="restart"/>
          </w:tcPr>
          <w:p>
            <w:pPr>
              <w:pStyle w:val="23"/>
              <w:widowControl w:val="0"/>
              <w:ind w:firstLine="0" w:firstLineChars="0"/>
              <w:jc w:val="center"/>
            </w:pPr>
            <w:r>
              <w:rPr>
                <w:rFonts w:hint="eastAsia" w:hAnsi="宋体" w:eastAsia="Times New Roman" w:cs="宋体"/>
                <w:sz w:val="18"/>
                <w:szCs w:val="18"/>
              </w:rPr>
              <w:t>产量（kg）</w:t>
            </w:r>
          </w:p>
        </w:tc>
        <w:tc>
          <w:tcPr>
            <w:tcW w:w="6873" w:type="dxa"/>
            <w:gridSpan w:val="3"/>
          </w:tcPr>
          <w:p>
            <w:pPr>
              <w:pStyle w:val="23"/>
              <w:widowControl w:val="0"/>
              <w:ind w:firstLine="0" w:firstLineChars="0"/>
              <w:jc w:val="center"/>
            </w:pPr>
            <w:r>
              <w:rPr>
                <w:rFonts w:hint="eastAsia" w:hAnsi="宋体" w:eastAsia="Times New Roman" w:cs="宋体"/>
                <w:sz w:val="18"/>
                <w:szCs w:val="18"/>
              </w:rPr>
              <w:t>养分</w:t>
            </w:r>
            <w:r>
              <w:rPr>
                <w:rFonts w:hint="eastAsia" w:hAnsi="宋体" w:cs="宋体" w:eastAsiaTheme="minorEastAsia"/>
                <w:sz w:val="18"/>
                <w:szCs w:val="18"/>
              </w:rPr>
              <w:t>吸收</w:t>
            </w:r>
            <w:r>
              <w:rPr>
                <w:rFonts w:hint="eastAsia" w:hAnsi="宋体" w:eastAsia="Times New Roman" w:cs="宋体"/>
                <w:sz w:val="18"/>
                <w:szCs w:val="18"/>
              </w:rPr>
              <w:t>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  <w:vMerge w:val="continue"/>
          </w:tcPr>
          <w:p>
            <w:pPr>
              <w:pStyle w:val="23"/>
              <w:widowControl w:val="0"/>
              <w:jc w:val="center"/>
            </w:pPr>
          </w:p>
        </w:tc>
        <w:tc>
          <w:tcPr>
            <w:tcW w:w="2414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N</w:t>
            </w:r>
          </w:p>
        </w:tc>
        <w:tc>
          <w:tcPr>
            <w:tcW w:w="2372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087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Times New Roman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Times New Roman" w:cs="宋体"/>
                <w:sz w:val="18"/>
                <w:szCs w:val="18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8" w:type="dxa"/>
          </w:tcPr>
          <w:p>
            <w:pPr>
              <w:pStyle w:val="23"/>
              <w:widowControl w:val="0"/>
              <w:ind w:firstLine="0" w:firstLineChars="0"/>
              <w:jc w:val="center"/>
            </w:pPr>
            <w:r>
              <w:rPr>
                <w:rFonts w:hint="eastAsia" w:hAnsi="宋体" w:eastAsia="Times New Roman" w:cs="宋体"/>
                <w:sz w:val="18"/>
                <w:szCs w:val="18"/>
              </w:rPr>
              <w:t>100</w:t>
            </w:r>
          </w:p>
        </w:tc>
        <w:tc>
          <w:tcPr>
            <w:tcW w:w="2414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0.89</w:t>
            </w:r>
          </w:p>
        </w:tc>
        <w:tc>
          <w:tcPr>
            <w:tcW w:w="2372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087" w:type="dxa"/>
            <w:vAlign w:val="center"/>
          </w:tcPr>
          <w:p>
            <w:pPr>
              <w:adjustRightInd w:val="0"/>
              <w:snapToGrid w:val="0"/>
              <w:spacing w:after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0.33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/>
        <w:textAlignment w:val="auto"/>
      </w:pPr>
      <w:r>
        <w:rPr>
          <w:rFonts w:hint="eastAsia" w:ascii="宋体" w:hAnsi="宋体" w:cs="宋体"/>
        </w:rPr>
        <w:t>养分施用</w:t>
      </w:r>
      <w:r>
        <w:rPr>
          <w:rFonts w:ascii="宋体" w:hAnsi="宋体" w:cs="宋体"/>
        </w:rPr>
        <w:t>量</w:t>
      </w:r>
    </w:p>
    <w:p>
      <w:pPr>
        <w:pStyle w:val="32"/>
        <w:tabs>
          <w:tab w:val="right" w:leader="dot" w:pos="8306"/>
        </w:tabs>
        <w:spacing w:before="156" w:after="156" w:line="360" w:lineRule="auto"/>
        <w:ind w:firstLine="420" w:firstLineChars="200"/>
        <w:rPr>
          <w:szCs w:val="22"/>
        </w:rPr>
      </w:pPr>
      <w:r>
        <w:rPr>
          <w:rFonts w:hint="eastAsia"/>
          <w:sz w:val="21"/>
          <w:szCs w:val="21"/>
        </w:rPr>
        <w:t>目标</w:t>
      </w:r>
      <w:r>
        <w:rPr>
          <w:sz w:val="21"/>
          <w:szCs w:val="21"/>
        </w:rPr>
        <w:t>产量按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2000</w:t>
      </w:r>
      <w:r>
        <w:rPr>
          <w:rFonts w:hint="eastAsia" w:ascii="宋体" w:hAnsi="宋体" w:cs="宋体"/>
          <w:sz w:val="21"/>
          <w:szCs w:val="21"/>
        </w:rPr>
        <w:t>kg/</w:t>
      </w:r>
      <w:r>
        <w:rPr>
          <w:rFonts w:hint="eastAsia" w:hAnsi="宋体" w:cs="宋体"/>
          <w:sz w:val="21"/>
          <w:szCs w:val="21"/>
        </w:rPr>
        <w:t>亩计，土壤中碱解氮、有效磷、速效钾的校正系数分别按</w:t>
      </w:r>
      <w:r>
        <w:rPr>
          <w:rFonts w:hint="eastAsia" w:ascii="宋体" w:hAnsi="宋体" w:cs="宋体"/>
          <w:sz w:val="21"/>
          <w:szCs w:val="21"/>
        </w:rPr>
        <w:t>0.5、0.45、0.675</w:t>
      </w:r>
      <w:r>
        <w:rPr>
          <w:rFonts w:hint="eastAsia" w:hAnsi="宋体" w:cs="宋体"/>
          <w:sz w:val="21"/>
          <w:szCs w:val="21"/>
        </w:rPr>
        <w:t>计；氮、磷、钾的利用率分别按</w:t>
      </w:r>
      <w:r>
        <w:rPr>
          <w:rFonts w:hint="eastAsia" w:ascii="宋体" w:hAnsi="宋体" w:cs="宋体"/>
          <w:sz w:val="21"/>
          <w:szCs w:val="21"/>
        </w:rPr>
        <w:t>34%、24%、42%计。不同土壤肥力水平养分施用</w:t>
      </w:r>
      <w:r>
        <w:rPr>
          <w:rFonts w:ascii="宋体" w:hAnsi="宋体" w:cs="宋体"/>
          <w:sz w:val="21"/>
          <w:szCs w:val="21"/>
        </w:rPr>
        <w:t>量</w:t>
      </w:r>
      <w:r>
        <w:rPr>
          <w:rFonts w:hint="eastAsia" w:ascii="宋体" w:hAnsi="宋体" w:cs="宋体"/>
          <w:sz w:val="21"/>
          <w:szCs w:val="21"/>
        </w:rPr>
        <w:t>见表3。</w:t>
      </w:r>
    </w:p>
    <w:p>
      <w:pPr>
        <w:pStyle w:val="31"/>
        <w:spacing w:before="156" w:after="156"/>
        <w:ind w:left="0"/>
        <w:rPr>
          <w:szCs w:val="22"/>
        </w:rPr>
      </w:pPr>
      <w:r>
        <w:rPr>
          <w:rFonts w:hint="eastAsia"/>
          <w:szCs w:val="22"/>
        </w:rPr>
        <w:t>表3 不同土壤肥力水平养分施用量</w:t>
      </w:r>
    </w:p>
    <w:tbl>
      <w:tblPr>
        <w:tblStyle w:val="4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77"/>
        <w:gridCol w:w="2708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产量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土壤养分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土壤养分含量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（mg/kg）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化肥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养分量（kg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（kg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碱解氮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17.74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17.74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15.39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15.39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13.03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13.03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10.68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10.68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8.32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8.32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5.97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5.97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3.62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175.36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1.26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有效磷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0.60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21.99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0.60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速效钾</w:t>
            </w: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≤120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6.68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4.11 </w:t>
            </w:r>
          </w:p>
        </w:tc>
      </w:tr>
    </w:tbl>
    <w:p>
      <w:pPr>
        <w:pStyle w:val="29"/>
        <w:numPr>
          <w:ilvl w:val="1"/>
          <w:numId w:val="0"/>
        </w:numPr>
        <w:spacing w:before="156" w:after="156"/>
        <w:rPr>
          <w:rFonts w:hAnsi="黑体"/>
        </w:rPr>
      </w:pPr>
      <w:r>
        <w:rPr>
          <w:rFonts w:hint="eastAsia" w:hAnsi="黑体"/>
        </w:rPr>
        <w:t>6.3  肥料</w:t>
      </w:r>
      <w:r>
        <w:rPr>
          <w:rFonts w:hAnsi="黑体"/>
        </w:rPr>
        <w:t>施用量</w:t>
      </w:r>
    </w:p>
    <w:p>
      <w:pPr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根据不同肥</w:t>
      </w:r>
      <w:r>
        <w:rPr>
          <w:rFonts w:asciiTheme="minorEastAsia" w:hAnsiTheme="minorEastAsia" w:eastAsiaTheme="minorEastAsia"/>
        </w:rPr>
        <w:t>力水平养分施用量，计算出不同</w:t>
      </w:r>
      <w:r>
        <w:rPr>
          <w:rFonts w:hint="eastAsia" w:asciiTheme="minorEastAsia" w:hAnsiTheme="minorEastAsia" w:eastAsiaTheme="minorEastAsia"/>
        </w:rPr>
        <w:t>肥力水平</w:t>
      </w:r>
      <w:r>
        <w:rPr>
          <w:rFonts w:asciiTheme="minorEastAsia" w:hAnsiTheme="minorEastAsia" w:eastAsiaTheme="minorEastAsia"/>
        </w:rPr>
        <w:t>肥料的施用量。</w:t>
      </w:r>
      <w:r>
        <w:rPr>
          <w:rFonts w:hint="eastAsia" w:asciiTheme="minorEastAsia" w:hAnsiTheme="minorEastAsia" w:eastAsiaTheme="minorEastAsia"/>
        </w:rPr>
        <w:t>氮肥施用量</w:t>
      </w:r>
      <w:r>
        <w:rPr>
          <w:rFonts w:asciiTheme="minorEastAsia" w:hAnsiTheme="minorEastAsia" w:eastAsiaTheme="minorEastAsia"/>
        </w:rPr>
        <w:t>见表</w:t>
      </w:r>
      <w:r>
        <w:rPr>
          <w:rFonts w:hint="eastAsia" w:asciiTheme="minorEastAsia" w:hAnsiTheme="minorEastAsia" w:eastAsiaTheme="minorEastAsia"/>
        </w:rPr>
        <w:t>4，磷肥施用量</w:t>
      </w:r>
      <w:r>
        <w:rPr>
          <w:rFonts w:asciiTheme="minorEastAsia" w:hAnsiTheme="minorEastAsia" w:eastAsiaTheme="minorEastAsia"/>
        </w:rPr>
        <w:t>见表5</w:t>
      </w:r>
      <w:r>
        <w:rPr>
          <w:rFonts w:hint="eastAsia" w:asciiTheme="minorEastAsia" w:hAnsiTheme="minorEastAsia" w:eastAsiaTheme="minorEastAsia"/>
        </w:rPr>
        <w:t>，钾肥施用量</w:t>
      </w:r>
      <w:r>
        <w:rPr>
          <w:rFonts w:asciiTheme="minorEastAsia" w:hAnsiTheme="minorEastAsia" w:eastAsiaTheme="minorEastAsia"/>
        </w:rPr>
        <w:t>见表6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31"/>
        <w:spacing w:before="156" w:after="156"/>
        <w:ind w:left="0"/>
        <w:rPr>
          <w:szCs w:val="22"/>
        </w:rPr>
      </w:pPr>
      <w:r>
        <w:rPr>
          <w:rFonts w:hint="eastAsia"/>
          <w:szCs w:val="22"/>
        </w:rPr>
        <w:t>表4  不同肥力水平氮肥施用量</w:t>
      </w: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264"/>
        <w:gridCol w:w="2700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（kg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肥料类别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N含量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土壤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含量（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mg/kg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施肥量（kg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尿素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46%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38.57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38.57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33.45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33.45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28.33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28.33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23.21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23.21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18.09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18.09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12.98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12.98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7.86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7.86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175.36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2.74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硝酸铵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52.18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52.18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45.25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45.25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38.33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38.33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31.40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31.40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24.48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24.48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17.56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17.56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10.63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10.63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175.36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73.92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73.92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64.11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64.11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54.30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54.30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44.49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44.49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34.68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34.68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24.87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24.87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15.06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15.06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175.36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5.25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硫酸铵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20.5%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86.54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86.54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75.05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75.05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63.57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63.57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52.09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52.09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40.60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40.60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29.12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29.12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17.64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17.64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6.15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175.36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6.15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碳酸氢铵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16.8%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105.60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105.60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91.58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91.58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77.57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77.57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63.56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63.56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49.54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49.54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35.53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35.53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21.52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21.52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7.51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175.36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7.51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磷酸二铵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136.46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136.46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118.35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118.35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100.24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100.24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82.14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82.14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64.03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64.03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45.92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45.92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27.81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27.81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9.70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175.36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9.70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1"/>
        <w:spacing w:before="156" w:after="156"/>
        <w:ind w:left="0"/>
        <w:jc w:val="center"/>
      </w:pPr>
      <w:r>
        <w:rPr>
          <w:rFonts w:hint="eastAsia"/>
          <w:szCs w:val="22"/>
        </w:rPr>
        <w:t>表5  不同肥力水平磷肥施用量</w:t>
      </w: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264"/>
        <w:gridCol w:w="2700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34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（kg/亩）</w:t>
            </w:r>
          </w:p>
        </w:tc>
        <w:tc>
          <w:tcPr>
            <w:tcW w:w="2264" w:type="dxa"/>
            <w:vAlign w:val="center"/>
          </w:tcPr>
          <w:p>
            <w:pPr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肥料类别（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含量）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含量（mg/kg）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施肥量（kg/亩）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磷酸一铵（41%）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8.78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8.78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5.12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5.12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21.99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1.46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重过磷酸钙（40%）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9.00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5.25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5.25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21.99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1.50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磷酸二铵（38%）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9.47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9.47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5.52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5.52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21.99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1.58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过磷酸钙（12%）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30.00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17.49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17.49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4.99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21.99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4.99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钙镁磷肥（12%）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≤10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30.00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17.49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17.49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4.99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21.99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4.99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1"/>
        <w:spacing w:before="156" w:after="156"/>
        <w:ind w:left="0"/>
        <w:rPr>
          <w:szCs w:val="22"/>
        </w:rPr>
      </w:pPr>
      <w:r>
        <w:rPr>
          <w:rFonts w:hint="eastAsia"/>
          <w:szCs w:val="22"/>
        </w:rPr>
        <w:t>表6  不同肥力水平钾肥施用量</w:t>
      </w: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264"/>
        <w:gridCol w:w="2700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34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产量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（kg/亩）</w:t>
            </w:r>
          </w:p>
        </w:tc>
        <w:tc>
          <w:tcPr>
            <w:tcW w:w="2264" w:type="dxa"/>
            <w:vAlign w:val="center"/>
          </w:tcPr>
          <w:p>
            <w:pPr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肥料类别（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含量）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含量（mg/kg）</w:t>
            </w:r>
          </w:p>
        </w:tc>
        <w:tc>
          <w:tcPr>
            <w:tcW w:w="2342" w:type="dxa"/>
            <w:vAlign w:val="center"/>
          </w:tcPr>
          <w:p>
            <w:pPr>
              <w:widowControl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施肥量（kg/亩）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氯化钾（55%）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12.15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12.15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7.47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7.47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145.96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2.79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硝酸钾（44%）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15.18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15.18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9.33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9.33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145.96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3.49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硫酸钾（40%）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16.70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16.70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10.27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10.27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145.96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3.84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磷酸二氢钾（30.5%）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21.90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21.90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13.47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13.47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145.96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5.03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restart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硫酸钾镁（21%）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≤120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31.81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31.81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19.56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19.56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7.31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spacing w:after="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145.96</w:t>
            </w:r>
          </w:p>
        </w:tc>
        <w:tc>
          <w:tcPr>
            <w:tcW w:w="2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7.31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/>
    <w:p/>
    <w:p>
      <w:pPr>
        <w:jc w:val="center"/>
      </w:pPr>
      <w:r>
        <w:t>_________________________________</w:t>
      </w:r>
    </w:p>
    <w:p/>
    <w:sectPr>
      <w:footerReference r:id="rId5" w:type="default"/>
      <w:pgSz w:w="11906" w:h="16838"/>
      <w:pgMar w:top="567" w:right="1134" w:bottom="1134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t>Q/YTZ 0</w:t>
    </w:r>
    <w:r>
      <w:rPr>
        <w:rFonts w:hint="eastAsia"/>
        <w:lang w:val="en-US" w:eastAsia="zh-CN"/>
      </w:rPr>
      <w:t>24</w:t>
    </w:r>
    <w:r>
      <w:t>.1—202</w:t>
    </w:r>
    <w:r>
      <w:rPr>
        <w:rFonts w:hint="eastAsia"/>
        <w:lang w:val="en-US" w:eastAsia="zh-CN"/>
      </w:rPr>
      <w:t>2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0"/>
      <w:suff w:val="nothing"/>
      <w:lvlText w:val="%1.%2.%3　"/>
      <w:lvlJc w:val="left"/>
      <w:pPr>
        <w:ind w:left="28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F35B8"/>
    <w:rsid w:val="0B3F35B8"/>
    <w:rsid w:val="14E4428D"/>
    <w:rsid w:val="32CF6423"/>
    <w:rsid w:val="55D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其他标准标志"/>
    <w:basedOn w:val="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封面标准英文名称"/>
    <w:basedOn w:val="12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4">
    <w:name w:val="封面一致性程度标识"/>
    <w:basedOn w:val="13"/>
    <w:qFormat/>
    <w:uiPriority w:val="0"/>
    <w:pPr>
      <w:spacing w:before="440"/>
    </w:pPr>
    <w:rPr>
      <w:rFonts w:ascii="宋体" w:eastAsia="宋体"/>
    </w:rPr>
  </w:style>
  <w:style w:type="paragraph" w:customStyle="1" w:styleId="15">
    <w:name w:val="封面标准文稿类别"/>
    <w:basedOn w:val="14"/>
    <w:qFormat/>
    <w:uiPriority w:val="0"/>
    <w:pPr>
      <w:spacing w:after="160" w:line="240" w:lineRule="auto"/>
    </w:pPr>
    <w:rPr>
      <w:sz w:val="24"/>
    </w:rPr>
  </w:style>
  <w:style w:type="paragraph" w:customStyle="1" w:styleId="16">
    <w:name w:val="封面标准文稿编辑信息"/>
    <w:basedOn w:val="15"/>
    <w:qFormat/>
    <w:uiPriority w:val="0"/>
    <w:pPr>
      <w:spacing w:before="180" w:line="180" w:lineRule="exact"/>
    </w:pPr>
    <w:rPr>
      <w:sz w:val="21"/>
    </w:rPr>
  </w:style>
  <w:style w:type="paragraph" w:customStyle="1" w:styleId="17">
    <w:name w:val="其他发布日期"/>
    <w:basedOn w:val="18"/>
    <w:qFormat/>
    <w:uiPriority w:val="0"/>
    <w:pPr>
      <w:framePr w:vAnchor="page" w:hAnchor="text" w:x="1419"/>
    </w:pPr>
  </w:style>
  <w:style w:type="paragraph" w:customStyle="1" w:styleId="18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9">
    <w:name w:val="其他实施日期"/>
    <w:basedOn w:val="20"/>
    <w:qFormat/>
    <w:uiPriority w:val="0"/>
  </w:style>
  <w:style w:type="paragraph" w:customStyle="1" w:styleId="20">
    <w:name w:val="实施日期"/>
    <w:basedOn w:val="18"/>
    <w:qFormat/>
    <w:uiPriority w:val="0"/>
    <w:pPr>
      <w:framePr w:vAnchor="page" w:hAnchor="text"/>
      <w:jc w:val="right"/>
    </w:pPr>
  </w:style>
  <w:style w:type="paragraph" w:customStyle="1" w:styleId="21">
    <w:name w:val="其他发布部门"/>
    <w:basedOn w:val="22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22">
    <w:name w:val="发布部门"/>
    <w:next w:val="23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4">
    <w:name w:val="发布"/>
    <w:basedOn w:val="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5">
    <w:name w:val="前言、引言标题"/>
    <w:next w:val="2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7">
    <w:name w:val="目次、标准名称标题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8">
    <w:name w:val="章标题"/>
    <w:next w:val="2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9">
    <w:name w:val="一级条标题"/>
    <w:next w:val="2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二级条标题"/>
    <w:basedOn w:val="29"/>
    <w:next w:val="2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31">
    <w:name w:val="正文表标题"/>
    <w:next w:val="23"/>
    <w:qFormat/>
    <w:uiPriority w:val="0"/>
    <w:pPr>
      <w:tabs>
        <w:tab w:val="left" w:pos="360"/>
      </w:tabs>
      <w:spacing w:beforeLines="50" w:afterLines="50"/>
      <w:ind w:left="3828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2021-12-29T06:37:00Z</dcterms:created>
  <dc:creator>仲夏夜之梦</dc:creator>
  <cp:lastModifiedBy>仲夏夜之梦</cp:lastModifiedBy>
  <dcterms:modified xsi:type="dcterms:W3CDTF">2021-12-29T08:07:32Z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0154A2F36C0D44D4B38854D7B7EE5AE3</vt:lpwstr>
  </property>
</Properties>
</file>