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8"/>
        <w:framePr w:w="9370"/>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9"/>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w:t>
      </w:r>
      <w:r>
        <w:rPr>
          <w:rFonts w:hint="eastAsia" w:ascii="Times New Roman"/>
        </w:rPr>
        <w:t>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24</w:t>
      </w:r>
      <w:r>
        <w:rPr>
          <w:rFonts w:hint="eastAsia" w:hAnsi="黑体"/>
        </w:rPr>
        <w:t>.6</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0"/>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YPLL1gAAAAgBAAAPAAAAAAAAAAEAIAAAACIAAABkcnMvZG93bnJldi54bWxQSwECFAAUAAAACACH&#10;TuJAl7vFRrQBAABqAwAADgAAAAAAAAABACAAAAAlAQAAZHJzL2Uyb0RvYy54bWxQSwUGAAAAAAYA&#10;BgBZAQAASwUAAAAA&#10;">
                      <v:fill on="t" focussize="0,0"/>
                      <v:stroke on="f"/>
                      <v:imagedata o:title=""/>
                      <o:lock v:ext="edit" aspectratio="f"/>
                      <v:textbox>
                        <w:txbxContent>
                          <w:p/>
                        </w:txbxContent>
                      </v:textbox>
                    </v:rect>
                  </w:pict>
                </mc:Fallback>
              </mc:AlternateContent>
            </w:r>
            <w:bookmarkEnd w:id="5"/>
          </w:p>
        </w:tc>
      </w:tr>
    </w:tbl>
    <w:p>
      <w:pPr>
        <w:pStyle w:val="9"/>
        <w:rPr>
          <w:rFonts w:hAnsi="黑体"/>
        </w:rPr>
      </w:pPr>
      <w:r>
        <mc:AlternateContent>
          <mc:Choice Requires="wps">
            <w:drawing>
              <wp:anchor distT="0" distB="0" distL="114300" distR="114300" simplePos="0" relativeHeight="251663360" behindDoc="0" locked="1" layoutInCell="1" allowOverlap="1">
                <wp:simplePos x="0" y="0"/>
                <wp:positionH relativeFrom="column">
                  <wp:posOffset>-156210</wp:posOffset>
                </wp:positionH>
                <wp:positionV relativeFrom="page">
                  <wp:posOffset>-949325</wp:posOffset>
                </wp:positionV>
                <wp:extent cx="612013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3pt;margin-top:-74.75pt;height:0pt;width:481.9pt;mso-position-vertical-relative:page;z-index:251663360;mso-width-relative:page;mso-height-relative:page;" filled="f" stroked="t" coordsize="21600,21600" o:gfxdata="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M70g9gAAAANAQAADwAAAAAAAAABACAAAAAiAAAAZHJzL2Rvd25yZXYueG1sUEsBAhQAFAAAAAgA&#10;h07iQBm1KJ7sAQAA2gMAAA4AAAAAAAAAAQAgAAAAJwEAAGRycy9lMm9Eb2MueG1sUEsFBgAAAAAG&#10;AAYAWQEAAIUFAAAAAA==&#10;">
                <v:fill on="f" focussize="0,0"/>
                <v:stroke color="#000000" joinstyle="round"/>
                <v:imagedata o:title=""/>
                <o:lock v:ext="edit" aspectratio="f"/>
                <w10:anchorlock/>
              </v:line>
            </w:pict>
          </mc:Fallback>
        </mc:AlternateContent>
      </w:r>
    </w:p>
    <w:p>
      <w:pPr>
        <w:pStyle w:val="9"/>
        <w:rPr>
          <w:rFonts w:hAnsi="黑体"/>
        </w:rPr>
      </w:pPr>
    </w:p>
    <w:p>
      <w:pPr>
        <w:pStyle w:val="11"/>
        <w:rPr>
          <w:rFonts w:hint="eastAsia" w:eastAsia="黑体"/>
          <w:lang w:eastAsia="zh-CN"/>
        </w:rPr>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大豆</w:t>
      </w:r>
    </w:p>
    <w:p>
      <w:pPr>
        <w:pStyle w:val="11"/>
      </w:pPr>
      <w:r>
        <w:rPr>
          <w:rFonts w:hint="eastAsia"/>
        </w:rPr>
        <w:t>第6部分：包装</w:t>
      </w:r>
      <w:r>
        <w:fldChar w:fldCharType="end"/>
      </w:r>
      <w:bookmarkEnd w:id="6"/>
    </w:p>
    <w:p>
      <w:pPr>
        <w:pStyle w:val="12"/>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3"/>
              <w:tabs>
                <w:tab w:val="center" w:pos="4879"/>
                <w:tab w:val="left" w:pos="6228"/>
              </w:tabs>
              <w:jc w:val="left"/>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5" name="矩形 5"/>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Ymu&#10;ktUAAAAKAQAADwAAAAAAAAABACAAAAAiAAAAZHJzL2Rvd25yZXYueG1sUEsBAhQAFAAAAAgAh07i&#10;QMQg4hezAQAAagMAAA4AAAAAAAAAAQAgAAAAJAEAAGRycy9lMm9Eb2MueG1sUEsFBgAAAAAGAAYA&#10;WQEAAEkFAAA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矩形 2"/>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D&#10;4Yvl1gAAAAkBAAAPAAAAAAAAAAEAIAAAACIAAABkcnMvZG93bnJldi54bWxQSwECFAAUAAAACACH&#10;TuJAiYOb3LQBAABqAwAADgAAAAAAAAABACAAAAAlAQAAZHJzL2Uyb0RvYy54bWxQSwUGAAAAAAYA&#10;BgBZAQAASwUAAAAA&#10;">
                      <v:fill on="t" focussize="0,0"/>
                      <v:stroke on="f"/>
                      <v:imagedata o:title=""/>
                      <o:lock v:ext="edit" aspectratio="f"/>
                      <v:textbox>
                        <w:txbxContent>
                          <w:p/>
                        </w:txbxContent>
                      </v:textbox>
                    </v:rect>
                  </w:pict>
                </mc:Fallback>
              </mc:AlternateContent>
            </w:r>
          </w:p>
        </w:tc>
      </w:tr>
    </w:tbl>
    <w:p>
      <w:pPr>
        <w:pStyle w:val="15"/>
      </w:pPr>
      <w:r>
        <w:rPr>
          <w:rFonts w:hint="eastAsia" w:ascii="黑体"/>
        </w:rPr>
        <w:t>202</w:t>
      </w:r>
      <w:r>
        <w:rPr>
          <w:rFonts w:hint="eastAsia" w:ascii="黑体"/>
          <w:lang w:val="en-US" w:eastAsia="zh-CN"/>
        </w:rPr>
        <w:t>2</w:t>
      </w:r>
      <w:r>
        <w:t xml:space="preserve"> </w:t>
      </w:r>
      <w:r>
        <w:rPr>
          <w:rFonts w:ascii="黑体"/>
        </w:rPr>
        <w:t>-</w:t>
      </w:r>
      <w:r>
        <w:t xml:space="preserve"> </w:t>
      </w:r>
      <w:r>
        <w:rPr>
          <w:rFonts w:hint="eastAsia"/>
          <w:lang w:val="en-US" w:eastAsia="zh-CN"/>
        </w:rPr>
        <w:t>1</w:t>
      </w:r>
      <w:r>
        <w:t xml:space="preserve"> </w:t>
      </w:r>
      <w:r>
        <w:rPr>
          <w:rFonts w:ascii="黑体"/>
        </w:rPr>
        <w:t>-</w:t>
      </w:r>
      <w:r>
        <w:t xml:space="preserve"> </w:t>
      </w:r>
      <w:r>
        <w:rPr>
          <w:rFonts w:hint="eastAsia" w:ascii="黑体"/>
          <w:lang w:val="en-US" w:eastAsia="zh-CN"/>
        </w:rPr>
        <w:t>1</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dr&#10;PNYAAAALAQAADwAAAAAAAAABACAAAAAiAAAAZHJzL2Rvd25yZXYueG1sUEsBAhQAFAAAAAgAh07i&#10;QHMt+3/rAQAA2AMAAA4AAAAAAAAAAQAgAAAAJQEAAGRycy9lMm9Eb2MueG1sUEsFBgAAAAAGAAYA&#10;WQEAAIIFAAAAAA==&#10;">
                <v:fill on="f" focussize="0,0"/>
                <v:stroke color="#000000" joinstyle="round"/>
                <v:imagedata o:title=""/>
                <o:lock v:ext="edit" aspectratio="f"/>
                <w10:anchorlock/>
              </v:line>
            </w:pict>
          </mc:Fallback>
        </mc:AlternateContent>
      </w:r>
    </w:p>
    <w:p>
      <w:pPr>
        <w:pStyle w:val="17"/>
      </w:pPr>
      <w:bookmarkStart w:id="7"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hint="eastAsia" w:ascii="黑体"/>
          <w:lang w:val="en-US" w:eastAsia="zh-CN"/>
        </w:rPr>
        <w:t>1</w:t>
      </w:r>
      <w:r>
        <w:rPr>
          <w:rFonts w:ascii="黑体"/>
        </w:rPr>
        <w:t>-</w:t>
      </w:r>
      <w:r>
        <w:t xml:space="preserve"> </w:t>
      </w:r>
      <w:r>
        <w:rPr>
          <w:rFonts w:hint="eastAsia"/>
          <w:lang w:val="en-US" w:eastAsia="zh-CN"/>
        </w:rPr>
        <w:t>15</w:t>
      </w:r>
      <w:r>
        <w:rPr>
          <w:rFonts w:hint="eastAsia"/>
        </w:rPr>
        <w:t>实施</w:t>
      </w:r>
    </w:p>
    <w:p/>
    <w:p/>
    <w:p/>
    <w:p/>
    <w:p/>
    <w:p>
      <w:r>
        <mc:AlternateContent>
          <mc:Choice Requires="wps">
            <w:drawing>
              <wp:anchor distT="0" distB="0" distL="114300" distR="114300" simplePos="0" relativeHeight="251664384" behindDoc="0" locked="1" layoutInCell="1" allowOverlap="1">
                <wp:simplePos x="0" y="0"/>
                <wp:positionH relativeFrom="column">
                  <wp:posOffset>-86360</wp:posOffset>
                </wp:positionH>
                <wp:positionV relativeFrom="page">
                  <wp:posOffset>2705100</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8pt;margin-top:213pt;height:0pt;width:481.9pt;mso-position-vertical-relative:page;z-index:251664384;mso-width-relative:page;mso-height-relative:page;" filled="f" stroked="t" coordsize="21600,21600" o:gfxdata="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0Nml1wAAAAsBAAAPAAAAAAAAAAEAIAAAACIAAABkcnMvZG93bnJldi54bWxQSwECFAAUAAAACACH&#10;TuJA0GsHAewBAADYAwAADgAAAAAAAAABACAAAAAmAQAAZHJzL2Uyb0RvYy54bWxQSwUGAAAAAAYA&#10;BgBZAQAAhAUAAAAA&#10;">
                <v:fill on="f" focussize="0,0"/>
                <v:stroke color="#000000" joinstyle="round"/>
                <v:imagedata o:title=""/>
                <o:lock v:ext="edit" aspectratio="f"/>
                <w10:anchorlock/>
              </v:line>
            </w:pict>
          </mc:Fallback>
        </mc:AlternateContent>
      </w:r>
    </w:p>
    <w:p/>
    <w:p/>
    <w:p/>
    <w:p/>
    <w:p/>
    <w:p/>
    <w:p>
      <w:pPr>
        <w:pStyle w:val="19"/>
        <w:sectPr>
          <w:headerReference r:id="rId3" w:type="default"/>
          <w:pgSz w:w="11906" w:h="16838"/>
          <w:pgMar w:top="567" w:right="1134" w:bottom="1134" w:left="1417" w:header="1417" w:footer="1134" w:gutter="0"/>
          <w:pgNumType w:fmt="upperRoman" w:start="1"/>
          <w:cols w:space="425" w:num="1"/>
          <w:docGrid w:type="lines" w:linePitch="312" w:charSpace="0"/>
        </w:sectPr>
      </w:pPr>
      <w:bookmarkStart w:id="8"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8"/>
      <w:r>
        <w:rPr>
          <w:rFonts w:hint="eastAsia" w:ascii="MS Mincho" w:hAnsi="MS Mincho" w:eastAsia="MS Mincho" w:cs="MS Mincho"/>
        </w:rPr>
        <w:t>   </w:t>
      </w:r>
      <w:r>
        <w:rPr>
          <w:rStyle w:val="22"/>
          <w:rFonts w:hint="eastAsia"/>
        </w:rPr>
        <w:t>发布</w:t>
      </w:r>
      <w: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184.25pt;height:0pt;width:481.9pt;z-index:25166540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JB&#10;4l/XAAAACQEAAA8AAAAAAAAAAQAgAAAAIgAAAGRycy9kb3ducmV2LnhtbFBLAQIUABQAAAAIAIdO&#10;4kB7Fi9f6wEAANgDAAAOAAAAAAAAAAEAIAAAACYBAABkcnMvZTJvRG9jLnhtbFBLBQYAAAAABgAG&#10;AFkBAACDBQAAAAA=&#10;">
                <v:fill on="f" focussize="0,0"/>
                <v:stroke color="#000000" joinstyle="round"/>
                <v:imagedata o:title=""/>
                <o:lock v:ext="edit" aspectratio="f"/>
              </v:line>
            </w:pict>
          </mc:Fallback>
        </mc:AlternateContent>
      </w:r>
    </w:p>
    <w:p>
      <w:pPr>
        <w:pStyle w:val="24"/>
        <w:jc w:val="center"/>
      </w:pPr>
      <w:r>
        <w:rPr>
          <w:rFonts w:hint="eastAsia"/>
        </w:rPr>
        <w:t>前</w:t>
      </w:r>
      <w:bookmarkStart w:id="9" w:name="BKQY"/>
      <w:r>
        <w:rPr>
          <w:rFonts w:hint="eastAsia" w:ascii="MS Mincho" w:hAnsi="MS Mincho" w:eastAsia="MS Mincho" w:cs="MS Mincho"/>
        </w:rPr>
        <w:t>  </w:t>
      </w:r>
      <w:r>
        <w:rPr>
          <w:rFonts w:hint="eastAsia"/>
        </w:rPr>
        <w:t>言</w:t>
      </w:r>
      <w:bookmarkEnd w:id="9"/>
      <w:bookmarkStart w:id="25" w:name="_GoBack"/>
      <w:bookmarkEnd w:id="25"/>
    </w:p>
    <w:p>
      <w:pPr>
        <w:pStyle w:val="21"/>
      </w:pPr>
      <w:r>
        <w:rPr>
          <w:rFonts w:hint="eastAsia"/>
        </w:rPr>
        <w:t>本文件按照GB/T 1.1-2020《标准化工作导则 第1部分：标准化文件的结构和起草规则》给出的规则起草。</w:t>
      </w:r>
    </w:p>
    <w:p>
      <w:pPr>
        <w:pStyle w:val="21"/>
      </w:pPr>
      <w:r>
        <w:rPr>
          <w:rFonts w:hint="eastAsia"/>
        </w:rPr>
        <w:t>本文件起草单位: 云南天质弘耕科技有限公司。</w:t>
      </w:r>
    </w:p>
    <w:p>
      <w:pPr>
        <w:pStyle w:val="21"/>
      </w:pPr>
      <w:r>
        <w:rPr>
          <w:rFonts w:hint="eastAsia"/>
        </w:rPr>
        <w:t>本文件主要起草人</w:t>
      </w:r>
      <w:r>
        <w:rPr>
          <w:rFonts w:hint="eastAsia"/>
          <w:lang w:eastAsia="zh-CN"/>
        </w:rPr>
        <w:t>：</w:t>
      </w:r>
      <w:r>
        <w:rPr>
          <w:rFonts w:hint="eastAsia"/>
        </w:rPr>
        <w:t>李美琼、李佩龙</w:t>
      </w:r>
      <w:r>
        <w:rPr>
          <w:rFonts w:hint="eastAsia"/>
          <w:lang w:eastAsia="zh-CN"/>
        </w:rPr>
        <w:t>、</w:t>
      </w:r>
      <w:r>
        <w:rPr>
          <w:rFonts w:hint="eastAsia"/>
        </w:rPr>
        <w:t>杨发宝。</w:t>
      </w:r>
    </w:p>
    <w:p/>
    <w:p/>
    <w:p/>
    <w:p/>
    <w:p/>
    <w:p/>
    <w:p/>
    <w:p/>
    <w:p/>
    <w:p/>
    <w:p/>
    <w:p/>
    <w:p/>
    <w:p/>
    <w:p/>
    <w:p/>
    <w:p/>
    <w:p/>
    <w:p/>
    <w:p/>
    <w:p/>
    <w:p/>
    <w:p/>
    <w:p/>
    <w:p/>
    <w:p/>
    <w:p/>
    <w:p/>
    <w:p/>
    <w:p/>
    <w:p/>
    <w:p/>
    <w:p/>
    <w:p>
      <w:pPr>
        <w:pStyle w:val="25"/>
        <w:spacing w:before="0" w:after="0" w:line="240" w:lineRule="auto"/>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5"/>
        <w:spacing w:before="0" w:after="0" w:line="240" w:lineRule="auto"/>
        <w:rPr>
          <w:rFonts w:ascii="宋体" w:hAnsi="宋体" w:eastAsia="宋体"/>
          <w:b/>
        </w:rPr>
      </w:pPr>
      <w:r>
        <w:rPr>
          <w:rFonts w:hint="eastAsia"/>
          <w:lang w:eastAsia="zh-CN"/>
        </w:rPr>
        <w:t>大豆</w:t>
      </w:r>
      <w:r>
        <w:rPr>
          <w:rFonts w:hint="eastAsia"/>
        </w:rPr>
        <w:t xml:space="preserve">   </w:t>
      </w:r>
      <w:r>
        <w:rPr>
          <w:rFonts w:hint="eastAsia"/>
          <w:color w:val="0000FF"/>
        </w:rPr>
        <w:t xml:space="preserve">       </w:t>
      </w:r>
      <w:r>
        <w:rPr>
          <w:rFonts w:hint="eastAsia"/>
        </w:rPr>
        <w:t xml:space="preserve">                                           第6部分：包装</w:t>
      </w:r>
    </w:p>
    <w:p>
      <w:pPr>
        <w:pStyle w:val="26"/>
        <w:numPr>
          <w:ilvl w:val="0"/>
          <w:numId w:val="0"/>
        </w:numPr>
        <w:spacing w:before="312" w:after="312"/>
        <w:rPr>
          <w:rFonts w:hint="default" w:hAnsi="黑体" w:cs="黑体"/>
          <w:bCs/>
        </w:rPr>
      </w:pPr>
      <w:r>
        <w:rPr>
          <w:rFonts w:hAnsi="黑体" w:cs="黑体"/>
          <w:bCs/>
        </w:rPr>
        <w:t>1  范围</w:t>
      </w:r>
    </w:p>
    <w:p>
      <w:pPr>
        <w:ind w:firstLine="420" w:firstLineChars="200"/>
        <w:rPr>
          <w:szCs w:val="21"/>
        </w:rPr>
      </w:pPr>
      <w:r>
        <w:rPr>
          <w:rFonts w:hint="eastAsia"/>
          <w:szCs w:val="21"/>
        </w:rPr>
        <w:t>本标准规定了</w:t>
      </w:r>
      <w:r>
        <w:rPr>
          <w:rFonts w:hint="eastAsia"/>
          <w:szCs w:val="21"/>
          <w:lang w:eastAsia="zh-CN"/>
        </w:rPr>
        <w:t>大豆</w:t>
      </w:r>
      <w:r>
        <w:rPr>
          <w:rFonts w:hint="eastAsia"/>
          <w:szCs w:val="21"/>
        </w:rPr>
        <w:t>包装的</w:t>
      </w:r>
      <w:r>
        <w:rPr>
          <w:rFonts w:hint="eastAsia"/>
        </w:rPr>
        <w:t>术语和定义、基本要求、包装材料、包装方法和</w:t>
      </w:r>
      <w:r>
        <w:t>标识</w:t>
      </w:r>
      <w:r>
        <w:rPr>
          <w:rFonts w:hint="eastAsia"/>
          <w:szCs w:val="21"/>
        </w:rPr>
        <w:t>等</w:t>
      </w:r>
      <w:r>
        <w:rPr>
          <w:szCs w:val="21"/>
        </w:rPr>
        <w:t>内容</w:t>
      </w:r>
      <w:r>
        <w:rPr>
          <w:rFonts w:hint="eastAsia"/>
          <w:szCs w:val="21"/>
        </w:rPr>
        <w:t>。</w:t>
      </w:r>
    </w:p>
    <w:p>
      <w:pPr>
        <w:ind w:firstLine="420" w:firstLineChars="200"/>
        <w:rPr>
          <w:szCs w:val="21"/>
        </w:rPr>
      </w:pPr>
      <w:r>
        <w:rPr>
          <w:rFonts w:hint="eastAsia"/>
          <w:szCs w:val="21"/>
        </w:rPr>
        <w:t>本标准适用于</w:t>
      </w:r>
      <w:r>
        <w:rPr>
          <w:rFonts w:hint="eastAsia"/>
          <w:szCs w:val="21"/>
          <w:lang w:eastAsia="zh-CN"/>
        </w:rPr>
        <w:t>大豆</w:t>
      </w:r>
      <w:r>
        <w:rPr>
          <w:rFonts w:hint="eastAsia"/>
          <w:szCs w:val="21"/>
        </w:rPr>
        <w:t>的包装。</w:t>
      </w:r>
    </w:p>
    <w:p>
      <w:pPr>
        <w:pStyle w:val="26"/>
        <w:numPr>
          <w:ilvl w:val="0"/>
          <w:numId w:val="0"/>
        </w:numPr>
        <w:spacing w:before="312" w:after="312"/>
        <w:rPr>
          <w:rFonts w:hint="default" w:hAnsi="黑体" w:cs="黑体"/>
          <w:bCs/>
        </w:rPr>
      </w:pPr>
      <w:bookmarkStart w:id="10" w:name="_Toc26562_WPSOffice_Level1"/>
      <w:bookmarkStart w:id="11" w:name="_Toc1925_WPSOffice_Level1"/>
      <w:bookmarkStart w:id="12" w:name="_Toc9494593"/>
      <w:bookmarkStart w:id="13" w:name="_Toc9437478"/>
      <w:bookmarkStart w:id="14" w:name="_Toc10544247"/>
      <w:bookmarkStart w:id="15" w:name="_Toc12641_WPSOffice_Level1"/>
      <w:r>
        <w:rPr>
          <w:rFonts w:hAnsi="黑体" w:cs="黑体"/>
          <w:bCs/>
        </w:rPr>
        <w:t>2  规范性引用文件</w:t>
      </w:r>
      <w:bookmarkEnd w:id="10"/>
      <w:bookmarkEnd w:id="11"/>
      <w:bookmarkEnd w:id="12"/>
      <w:bookmarkEnd w:id="13"/>
      <w:bookmarkEnd w:id="14"/>
      <w:bookmarkEnd w:id="15"/>
    </w:p>
    <w:p>
      <w:pPr>
        <w:pStyle w:val="21"/>
        <w:rPr>
          <w:szCs w:val="22"/>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w:t>
      </w:r>
      <w:r>
        <w:rPr>
          <w:rFonts w:hint="eastAsia"/>
          <w:szCs w:val="22"/>
        </w:rPr>
        <w:t>文件。</w:t>
      </w:r>
    </w:p>
    <w:p>
      <w:pPr>
        <w:pStyle w:val="21"/>
      </w:pPr>
      <w:r>
        <w:rPr>
          <w:rFonts w:hint="eastAsia"/>
        </w:rPr>
        <w:t>GB/T 191 包装储运图示标志</w:t>
      </w:r>
    </w:p>
    <w:p>
      <w:pPr>
        <w:pStyle w:val="21"/>
      </w:pPr>
      <w:r>
        <w:rPr>
          <w:rFonts w:hint="eastAsia"/>
        </w:rPr>
        <w:t>GB 4806.1 食品安全国家标准 食品接触材料及制品通用安全要求</w:t>
      </w:r>
    </w:p>
    <w:p>
      <w:pPr>
        <w:pStyle w:val="21"/>
      </w:pPr>
      <w:r>
        <w:rPr>
          <w:rFonts w:hint="eastAsia"/>
        </w:rPr>
        <w:t>GB/T 6544 瓦楞纸板</w:t>
      </w:r>
    </w:p>
    <w:p>
      <w:pPr>
        <w:pStyle w:val="21"/>
      </w:pPr>
      <w:r>
        <w:rPr>
          <w:rFonts w:hint="eastAsia"/>
        </w:rPr>
        <w:t>GB/T 8854 蔬菜名称</w:t>
      </w:r>
    </w:p>
    <w:p>
      <w:pPr>
        <w:pStyle w:val="21"/>
      </w:pPr>
      <w:r>
        <w:rPr>
          <w:rFonts w:hint="eastAsia"/>
        </w:rPr>
        <w:t>GB 9685 食品安全国家标准 食品接触材料及制品用添加剂使用标准</w:t>
      </w:r>
    </w:p>
    <w:p>
      <w:pPr>
        <w:pStyle w:val="21"/>
      </w:pPr>
      <w:r>
        <w:rPr>
          <w:rFonts w:hint="eastAsia"/>
        </w:rPr>
        <w:t>GB/T 11115 聚乙烯（PE）树脂</w:t>
      </w:r>
    </w:p>
    <w:p>
      <w:pPr>
        <w:pStyle w:val="21"/>
      </w:pPr>
      <w:r>
        <w:rPr>
          <w:rFonts w:hint="eastAsia"/>
        </w:rPr>
        <w:t>GB/T 12670 聚丙烯(PP)树脂</w:t>
      </w:r>
    </w:p>
    <w:p>
      <w:pPr>
        <w:pStyle w:val="21"/>
      </w:pPr>
      <w:r>
        <w:rPr>
          <w:rFonts w:hint="eastAsia"/>
        </w:rPr>
        <w:t>GB/T 12671 聚苯乙烯(PS)树脂</w:t>
      </w:r>
    </w:p>
    <w:p>
      <w:pPr>
        <w:pStyle w:val="21"/>
      </w:pPr>
      <w:r>
        <w:rPr>
          <w:rFonts w:hint="eastAsia"/>
        </w:rPr>
        <w:t>GB/T 13023 瓦楞芯(原)纸</w:t>
      </w:r>
    </w:p>
    <w:p>
      <w:pPr>
        <w:pStyle w:val="21"/>
      </w:pPr>
      <w:r>
        <w:t xml:space="preserve">GB/T 13024 </w:t>
      </w:r>
      <w:r>
        <w:rPr>
          <w:rFonts w:hint="eastAsia"/>
        </w:rPr>
        <w:t>箱纸板</w:t>
      </w:r>
    </w:p>
    <w:p>
      <w:pPr>
        <w:pStyle w:val="21"/>
      </w:pPr>
      <w:bookmarkStart w:id="16" w:name="_Toc10544248"/>
      <w:bookmarkStart w:id="17" w:name="_Toc1295_WPSOffice_Level1"/>
      <w:bookmarkStart w:id="18" w:name="_Toc4575_WPSOffice_Level1"/>
      <w:bookmarkStart w:id="19" w:name="_Toc11311_WPSOffice_Level1"/>
      <w:bookmarkStart w:id="20" w:name="_Toc9437479"/>
      <w:bookmarkStart w:id="21" w:name="_Toc9494594"/>
      <w:r>
        <w:rPr>
          <w:rFonts w:hint="eastAsia"/>
          <w:szCs w:val="22"/>
        </w:rPr>
        <w:t>GB/T 23887 食品包装容器及材料生产企业通用良好操作规范</w:t>
      </w:r>
    </w:p>
    <w:p>
      <w:pPr>
        <w:pStyle w:val="26"/>
        <w:numPr>
          <w:ilvl w:val="0"/>
          <w:numId w:val="0"/>
        </w:numPr>
        <w:spacing w:before="312" w:after="312"/>
        <w:rPr>
          <w:rFonts w:hint="default" w:hAnsi="黑体" w:cs="黑体"/>
          <w:bCs/>
        </w:rPr>
      </w:pPr>
      <w:r>
        <w:rPr>
          <w:rFonts w:hAnsi="黑体" w:cs="黑体"/>
          <w:bCs/>
        </w:rPr>
        <w:t>3  术语和定义</w:t>
      </w:r>
      <w:bookmarkEnd w:id="16"/>
      <w:bookmarkEnd w:id="17"/>
      <w:bookmarkEnd w:id="18"/>
      <w:bookmarkEnd w:id="19"/>
      <w:bookmarkEnd w:id="20"/>
      <w:bookmarkEnd w:id="21"/>
    </w:p>
    <w:p>
      <w:pPr>
        <w:spacing w:line="360" w:lineRule="auto"/>
        <w:ind w:firstLine="420" w:firstLineChars="200"/>
        <w:jc w:val="left"/>
        <w:rPr>
          <w:szCs w:val="21"/>
        </w:rPr>
      </w:pPr>
      <w:r>
        <w:rPr>
          <w:rFonts w:hint="eastAsia"/>
          <w:szCs w:val="21"/>
        </w:rPr>
        <w:t>下列术语和定义适用于本文件。</w:t>
      </w:r>
    </w:p>
    <w:p>
      <w:pPr>
        <w:pStyle w:val="26"/>
        <w:numPr>
          <w:ilvl w:val="0"/>
          <w:numId w:val="0"/>
        </w:numPr>
        <w:spacing w:before="156" w:beforeLines="50" w:after="156" w:afterLines="50"/>
        <w:rPr>
          <w:rFonts w:hint="default"/>
        </w:rPr>
      </w:pPr>
      <w:bookmarkStart w:id="22" w:name="_Toc22236_WPSOffice_Level2"/>
      <w:bookmarkStart w:id="23" w:name="_Toc9494606"/>
      <w:bookmarkStart w:id="24" w:name="_Toc9437491"/>
      <w:r>
        <w:t xml:space="preserve">3.1  </w:t>
      </w:r>
      <w:bookmarkEnd w:id="22"/>
      <w:bookmarkEnd w:id="23"/>
      <w:bookmarkEnd w:id="24"/>
    </w:p>
    <w:p>
      <w:pPr>
        <w:pStyle w:val="26"/>
        <w:numPr>
          <w:ilvl w:val="0"/>
          <w:numId w:val="0"/>
        </w:numPr>
        <w:spacing w:before="156" w:beforeLines="50" w:after="156" w:afterLines="50"/>
        <w:ind w:firstLine="420" w:firstLineChars="200"/>
        <w:rPr>
          <w:rFonts w:hint="default"/>
        </w:rPr>
      </w:pPr>
      <w:r>
        <w:t>包装</w:t>
      </w:r>
    </w:p>
    <w:p>
      <w:pPr>
        <w:pStyle w:val="21"/>
      </w:pPr>
      <w:r>
        <w:rPr>
          <w:rFonts w:hint="eastAsia"/>
        </w:rPr>
        <w:t>是指包裹、盛装食品的各种包装材料、容器及其辅助物的总称。</w:t>
      </w:r>
    </w:p>
    <w:p>
      <w:pPr>
        <w:pStyle w:val="26"/>
        <w:numPr>
          <w:ilvl w:val="0"/>
          <w:numId w:val="0"/>
        </w:numPr>
        <w:spacing w:before="156" w:beforeLines="50" w:after="156" w:afterLines="50"/>
        <w:rPr>
          <w:rFonts w:hint="default"/>
        </w:rPr>
      </w:pPr>
      <w:r>
        <w:t>3.2</w:t>
      </w:r>
    </w:p>
    <w:p>
      <w:pPr>
        <w:pStyle w:val="26"/>
        <w:numPr>
          <w:ilvl w:val="0"/>
          <w:numId w:val="0"/>
        </w:numPr>
        <w:spacing w:before="156" w:beforeLines="50" w:after="156" w:afterLines="50"/>
        <w:ind w:firstLine="420" w:firstLineChars="200"/>
        <w:rPr>
          <w:rFonts w:hint="default"/>
        </w:rPr>
      </w:pPr>
      <w:r>
        <w:t>成熟度</w:t>
      </w:r>
    </w:p>
    <w:p>
      <w:pPr>
        <w:pStyle w:val="21"/>
      </w:pPr>
      <w:r>
        <w:rPr>
          <w:rFonts w:hint="eastAsia"/>
        </w:rPr>
        <w:t>果实发育到可供食用的适当成熟程度。</w:t>
      </w:r>
    </w:p>
    <w:p>
      <w:pPr>
        <w:pStyle w:val="26"/>
        <w:numPr>
          <w:ilvl w:val="0"/>
          <w:numId w:val="0"/>
        </w:numPr>
        <w:spacing w:before="312" w:after="312"/>
        <w:rPr>
          <w:rFonts w:hint="default"/>
        </w:rPr>
      </w:pPr>
      <w:r>
        <w:t>4  基本要求</w:t>
      </w:r>
    </w:p>
    <w:p>
      <w:pPr>
        <w:pStyle w:val="21"/>
        <w:ind w:firstLine="0" w:firstLineChars="0"/>
      </w:pPr>
      <w:r>
        <w:rPr>
          <w:rFonts w:hint="eastAsia" w:ascii="黑体" w:hAnsi="黑体" w:eastAsia="黑体" w:cs="黑体"/>
        </w:rPr>
        <w:t xml:space="preserve">4.1  </w:t>
      </w:r>
      <w:r>
        <w:rPr>
          <w:rFonts w:hint="eastAsia"/>
        </w:rPr>
        <w:t>包装</w:t>
      </w:r>
      <w:r>
        <w:t>材料</w:t>
      </w:r>
      <w:r>
        <w:rPr>
          <w:rFonts w:hint="eastAsia"/>
        </w:rPr>
        <w:t>和包装</w:t>
      </w:r>
      <w:r>
        <w:t>方</w:t>
      </w:r>
      <w:r>
        <w:rPr>
          <w:rFonts w:hint="eastAsia"/>
        </w:rPr>
        <w:t>法</w:t>
      </w:r>
      <w:r>
        <w:t>的选择应保护</w:t>
      </w:r>
      <w:r>
        <w:rPr>
          <w:rFonts w:hint="eastAsia"/>
          <w:lang w:eastAsia="zh-CN"/>
        </w:rPr>
        <w:t>大豆</w:t>
      </w:r>
      <w:r>
        <w:t>避免磕碰等</w:t>
      </w:r>
      <w:r>
        <w:rPr>
          <w:rFonts w:hint="eastAsia"/>
        </w:rPr>
        <w:t>机械</w:t>
      </w:r>
      <w:r>
        <w:t>损伤；满足新鲜</w:t>
      </w:r>
      <w:r>
        <w:rPr>
          <w:rFonts w:hint="eastAsia"/>
          <w:lang w:eastAsia="zh-CN"/>
        </w:rPr>
        <w:t>大豆</w:t>
      </w:r>
      <w:r>
        <w:t>的呼吸作用等基本生理需求，减少</w:t>
      </w:r>
      <w:r>
        <w:rPr>
          <w:rFonts w:hint="eastAsia"/>
          <w:lang w:eastAsia="zh-CN"/>
        </w:rPr>
        <w:t>大豆</w:t>
      </w:r>
      <w:r>
        <w:rPr>
          <w:rFonts w:hint="eastAsia"/>
        </w:rPr>
        <w:t>在</w:t>
      </w:r>
      <w:r>
        <w:t>贮藏、运输期间病害的传染。</w:t>
      </w:r>
    </w:p>
    <w:p>
      <w:pPr>
        <w:pStyle w:val="21"/>
        <w:ind w:firstLine="0" w:firstLineChars="0"/>
      </w:pPr>
      <w:r>
        <w:rPr>
          <w:rFonts w:hint="eastAsia" w:ascii="黑体" w:hAnsi="黑体" w:eastAsia="黑体" w:cs="黑体"/>
        </w:rPr>
        <w:t>4.2</w:t>
      </w:r>
      <w:r>
        <w:t xml:space="preserve"> </w:t>
      </w:r>
      <w:r>
        <w:rPr>
          <w:rFonts w:hint="eastAsia"/>
        </w:rPr>
        <w:t xml:space="preserve"> 包装</w:t>
      </w:r>
      <w:r>
        <w:t>材料</w:t>
      </w:r>
      <w:r>
        <w:rPr>
          <w:rFonts w:hint="eastAsia"/>
        </w:rPr>
        <w:t>和包装</w:t>
      </w:r>
      <w:r>
        <w:t>方法</w:t>
      </w:r>
      <w:r>
        <w:rPr>
          <w:rFonts w:hint="eastAsia"/>
        </w:rPr>
        <w:t>的</w:t>
      </w:r>
      <w:r>
        <w:t>选择应方便</w:t>
      </w:r>
      <w:r>
        <w:rPr>
          <w:rFonts w:hint="eastAsia"/>
          <w:lang w:eastAsia="zh-CN"/>
        </w:rPr>
        <w:t>大豆</w:t>
      </w:r>
      <w:r>
        <w:t>的转载、运输和销售。</w:t>
      </w:r>
    </w:p>
    <w:p>
      <w:pPr>
        <w:pStyle w:val="21"/>
        <w:ind w:firstLine="0" w:firstLineChars="0"/>
      </w:pPr>
      <w:r>
        <w:rPr>
          <w:rFonts w:hint="eastAsia" w:ascii="黑体" w:hAnsi="黑体" w:eastAsia="黑体" w:cs="黑体"/>
        </w:rPr>
        <w:t xml:space="preserve">4.3  </w:t>
      </w:r>
      <w:r>
        <w:rPr>
          <w:rFonts w:hint="eastAsia"/>
        </w:rPr>
        <w:t>包装</w:t>
      </w:r>
      <w:r>
        <w:t>材料</w:t>
      </w:r>
      <w:r>
        <w:rPr>
          <w:rFonts w:hint="eastAsia"/>
        </w:rPr>
        <w:t>和包装</w:t>
      </w:r>
      <w:r>
        <w:t>方法</w:t>
      </w:r>
      <w:r>
        <w:rPr>
          <w:rFonts w:hint="eastAsia"/>
        </w:rPr>
        <w:t>的</w:t>
      </w:r>
      <w:r>
        <w:t>选择</w:t>
      </w:r>
      <w:r>
        <w:rPr>
          <w:rFonts w:hint="eastAsia"/>
        </w:rPr>
        <w:t>应</w:t>
      </w:r>
      <w:r>
        <w:t>安全、便捷、适宜，尽量减少包装环境的变化，减少包装次数。</w:t>
      </w:r>
    </w:p>
    <w:p>
      <w:pPr>
        <w:pStyle w:val="21"/>
        <w:ind w:firstLine="0" w:firstLineChars="0"/>
      </w:pPr>
      <w:r>
        <w:rPr>
          <w:rFonts w:hint="eastAsia" w:ascii="黑体" w:hAnsi="黑体" w:eastAsia="黑体" w:cs="黑体"/>
        </w:rPr>
        <w:t>4.4</w:t>
      </w:r>
      <w:r>
        <w:t xml:space="preserve"> </w:t>
      </w:r>
      <w:r>
        <w:rPr>
          <w:rFonts w:hint="eastAsia"/>
        </w:rPr>
        <w:t xml:space="preserve"> 选择</w:t>
      </w:r>
      <w:r>
        <w:t>的保障材料应节能、环保，可回收利用或</w:t>
      </w:r>
      <w:r>
        <w:rPr>
          <w:rFonts w:hint="eastAsia"/>
        </w:rPr>
        <w:t>降解</w:t>
      </w:r>
      <w:r>
        <w:t>，不应过度包装。</w:t>
      </w:r>
    </w:p>
    <w:p>
      <w:pPr>
        <w:pStyle w:val="26"/>
        <w:numPr>
          <w:ilvl w:val="0"/>
          <w:numId w:val="0"/>
        </w:numPr>
        <w:spacing w:before="312" w:after="312"/>
        <w:rPr>
          <w:rFonts w:hint="default"/>
        </w:rPr>
      </w:pPr>
      <w:r>
        <w:t>5  包装材料</w:t>
      </w:r>
    </w:p>
    <w:p>
      <w:pPr>
        <w:pStyle w:val="27"/>
        <w:numPr>
          <w:ilvl w:val="1"/>
          <w:numId w:val="0"/>
        </w:numPr>
        <w:spacing w:before="156" w:after="156"/>
        <w:ind w:leftChars="0"/>
        <w:rPr>
          <w:rFonts w:hint="default"/>
        </w:rPr>
      </w:pPr>
      <w:r>
        <w:rPr>
          <w:rFonts w:hint="eastAsia"/>
          <w:lang w:val="en-US" w:eastAsia="zh-CN"/>
        </w:rPr>
        <w:t xml:space="preserve">5.1  </w:t>
      </w:r>
      <w:r>
        <w:t>生产要求</w:t>
      </w:r>
    </w:p>
    <w:p>
      <w:pPr>
        <w:pStyle w:val="21"/>
      </w:pPr>
      <w:r>
        <w:rPr>
          <w:rFonts w:hint="eastAsia"/>
        </w:rPr>
        <w:t xml:space="preserve"> 包装材料、容器及其辅助物的生产过程控制应符合GB/T 23887的规定</w:t>
      </w:r>
    </w:p>
    <w:p>
      <w:pPr>
        <w:pStyle w:val="27"/>
        <w:numPr>
          <w:ilvl w:val="1"/>
          <w:numId w:val="0"/>
        </w:numPr>
        <w:spacing w:before="156" w:after="156"/>
        <w:ind w:leftChars="0"/>
        <w:rPr>
          <w:rFonts w:hint="default"/>
        </w:rPr>
      </w:pPr>
      <w:r>
        <w:rPr>
          <w:rFonts w:hint="eastAsia"/>
          <w:lang w:val="en-US" w:eastAsia="zh-CN"/>
        </w:rPr>
        <w:t xml:space="preserve">5.2  </w:t>
      </w:r>
      <w:r>
        <w:t>性能要求</w:t>
      </w:r>
    </w:p>
    <w:p>
      <w:pPr>
        <w:pStyle w:val="28"/>
        <w:numPr>
          <w:ilvl w:val="2"/>
          <w:numId w:val="0"/>
        </w:numPr>
        <w:ind w:leftChars="0"/>
      </w:pPr>
      <w:r>
        <w:rPr>
          <w:rFonts w:hint="eastAsia" w:ascii="黑体" w:hAnsi="黑体" w:eastAsia="黑体" w:cs="黑体"/>
          <w:lang w:val="en-US" w:eastAsia="zh-CN"/>
        </w:rPr>
        <w:t>5.2.1</w:t>
      </w:r>
      <w:r>
        <w:rPr>
          <w:rFonts w:hint="eastAsia"/>
          <w:lang w:val="en-US" w:eastAsia="zh-CN"/>
        </w:rPr>
        <w:t xml:space="preserve">  </w:t>
      </w:r>
      <w:r>
        <w:rPr>
          <w:rFonts w:hint="eastAsia"/>
        </w:rPr>
        <w:t>包装材料应具有相应的力学性能、渗透性、耐温性、化学稳定性能、光学性能等，能抵御农产品物流中正常外部条件的影响。</w:t>
      </w:r>
    </w:p>
    <w:p>
      <w:pPr>
        <w:pStyle w:val="28"/>
        <w:numPr>
          <w:ilvl w:val="2"/>
          <w:numId w:val="0"/>
        </w:numPr>
        <w:ind w:leftChars="0"/>
      </w:pPr>
      <w:r>
        <w:rPr>
          <w:rFonts w:hint="eastAsia" w:ascii="黑体" w:hAnsi="黑体" w:eastAsia="黑体" w:cs="黑体"/>
          <w:lang w:val="en-US" w:eastAsia="zh-CN"/>
        </w:rPr>
        <w:t>5.2.2</w:t>
      </w:r>
      <w:r>
        <w:rPr>
          <w:rFonts w:hint="eastAsia"/>
          <w:lang w:val="en-US" w:eastAsia="zh-CN"/>
        </w:rPr>
        <w:t xml:space="preserve">  </w:t>
      </w:r>
      <w:r>
        <w:rPr>
          <w:rFonts w:hint="eastAsia"/>
        </w:rPr>
        <w:t>包装材料应具有良好的加工性能，便于生产加工相关包装容器。</w:t>
      </w:r>
    </w:p>
    <w:p>
      <w:pPr>
        <w:pStyle w:val="28"/>
        <w:numPr>
          <w:ilvl w:val="2"/>
          <w:numId w:val="0"/>
        </w:numPr>
        <w:ind w:leftChars="0"/>
      </w:pPr>
      <w:r>
        <w:rPr>
          <w:rFonts w:hint="eastAsia" w:ascii="黑体" w:hAnsi="黑体" w:eastAsia="黑体" w:cs="黑体"/>
          <w:lang w:val="en-US" w:eastAsia="zh-CN"/>
        </w:rPr>
        <w:t xml:space="preserve">5.2.3 </w:t>
      </w:r>
      <w:r>
        <w:rPr>
          <w:rFonts w:hint="eastAsia"/>
          <w:lang w:val="en-US" w:eastAsia="zh-CN"/>
        </w:rPr>
        <w:t xml:space="preserve"> </w:t>
      </w:r>
      <w:r>
        <w:rPr>
          <w:rFonts w:hint="eastAsia"/>
        </w:rPr>
        <w:t>包装材料应与直接接触的内装物性质相适应。</w:t>
      </w:r>
    </w:p>
    <w:p>
      <w:pPr>
        <w:pStyle w:val="28"/>
        <w:numPr>
          <w:ilvl w:val="2"/>
          <w:numId w:val="0"/>
        </w:numPr>
        <w:ind w:leftChars="0"/>
      </w:pPr>
      <w:r>
        <w:rPr>
          <w:rFonts w:hint="eastAsia" w:ascii="黑体" w:hAnsi="黑体" w:eastAsia="黑体" w:cs="黑体"/>
          <w:lang w:val="en-US" w:eastAsia="zh-CN"/>
        </w:rPr>
        <w:t>5.2.4</w:t>
      </w:r>
      <w:r>
        <w:rPr>
          <w:rFonts w:hint="eastAsia"/>
          <w:lang w:val="en-US" w:eastAsia="zh-CN"/>
        </w:rPr>
        <w:t xml:space="preserve">  </w:t>
      </w:r>
      <w:r>
        <w:rPr>
          <w:rFonts w:hint="eastAsia"/>
        </w:rPr>
        <w:t>所用涂料、粘合剂和印刷油墨等应具有化学稳定性。</w:t>
      </w:r>
    </w:p>
    <w:p>
      <w:pPr>
        <w:pStyle w:val="27"/>
        <w:numPr>
          <w:ilvl w:val="1"/>
          <w:numId w:val="0"/>
        </w:numPr>
        <w:spacing w:before="156" w:after="156"/>
        <w:ind w:leftChars="0"/>
        <w:rPr>
          <w:rFonts w:hint="default"/>
        </w:rPr>
      </w:pPr>
      <w:r>
        <w:rPr>
          <w:rFonts w:hint="eastAsia"/>
          <w:lang w:val="en-US" w:eastAsia="zh-CN"/>
        </w:rPr>
        <w:t xml:space="preserve">5.3  </w:t>
      </w:r>
      <w:r>
        <w:t>卫生安全要求</w:t>
      </w:r>
    </w:p>
    <w:p>
      <w:pPr>
        <w:pStyle w:val="28"/>
        <w:numPr>
          <w:ilvl w:val="2"/>
          <w:numId w:val="0"/>
        </w:numPr>
        <w:ind w:leftChars="0"/>
      </w:pPr>
      <w:r>
        <w:rPr>
          <w:rFonts w:hint="eastAsia" w:ascii="黑体" w:hAnsi="黑体" w:eastAsia="黑体" w:cs="黑体"/>
          <w:lang w:val="en-US" w:eastAsia="zh-CN"/>
        </w:rPr>
        <w:t>5.3.1</w:t>
      </w:r>
      <w:r>
        <w:rPr>
          <w:rFonts w:hint="eastAsia"/>
          <w:lang w:val="en-US" w:eastAsia="zh-CN"/>
        </w:rPr>
        <w:t xml:space="preserve">  </w:t>
      </w:r>
      <w:r>
        <w:rPr>
          <w:rFonts w:hint="eastAsia"/>
        </w:rPr>
        <w:t>包装材料中有毒有害物质含量及其迁移量应符合GB 4806.1的规定。</w:t>
      </w:r>
    </w:p>
    <w:p>
      <w:pPr>
        <w:pStyle w:val="28"/>
        <w:numPr>
          <w:ilvl w:val="2"/>
          <w:numId w:val="0"/>
        </w:numPr>
        <w:ind w:leftChars="0"/>
      </w:pPr>
      <w:r>
        <w:rPr>
          <w:rFonts w:hint="eastAsia" w:ascii="黑体" w:hAnsi="黑体" w:eastAsia="黑体" w:cs="黑体"/>
          <w:lang w:val="en-US" w:eastAsia="zh-CN"/>
        </w:rPr>
        <w:t xml:space="preserve">5.3.2  </w:t>
      </w:r>
      <w:r>
        <w:rPr>
          <w:rFonts w:hint="eastAsia"/>
        </w:rPr>
        <w:t>直接接触食用农产品的包装材料用添加剂应符合GB 9685 的规定。</w:t>
      </w:r>
    </w:p>
    <w:p>
      <w:pPr>
        <w:pStyle w:val="27"/>
        <w:numPr>
          <w:ilvl w:val="1"/>
          <w:numId w:val="0"/>
        </w:numPr>
        <w:spacing w:before="156" w:after="156"/>
        <w:ind w:leftChars="0"/>
        <w:rPr>
          <w:rFonts w:hint="default"/>
        </w:rPr>
      </w:pPr>
      <w:r>
        <w:rPr>
          <w:rFonts w:hint="eastAsia"/>
          <w:lang w:val="en-US" w:eastAsia="zh-CN"/>
        </w:rPr>
        <w:t xml:space="preserve">5.4  </w:t>
      </w:r>
      <w:r>
        <w:t>环保要求</w:t>
      </w:r>
    </w:p>
    <w:p>
      <w:pPr>
        <w:pStyle w:val="28"/>
        <w:numPr>
          <w:ilvl w:val="2"/>
          <w:numId w:val="0"/>
        </w:numPr>
        <w:ind w:leftChars="0"/>
      </w:pPr>
      <w:r>
        <w:rPr>
          <w:rFonts w:hint="eastAsia" w:ascii="黑体" w:hAnsi="黑体" w:eastAsia="黑体" w:cs="黑体"/>
          <w:lang w:val="en-US" w:eastAsia="zh-CN"/>
        </w:rPr>
        <w:t xml:space="preserve">5.4.1 </w:t>
      </w:r>
      <w:r>
        <w:rPr>
          <w:rFonts w:hint="eastAsia"/>
          <w:lang w:val="en-US" w:eastAsia="zh-CN"/>
        </w:rPr>
        <w:t xml:space="preserve"> </w:t>
      </w:r>
      <w:r>
        <w:rPr>
          <w:rFonts w:hint="eastAsia"/>
        </w:rPr>
        <w:t>包装材料应便于回收利用，不应对环境造成长期污染。</w:t>
      </w:r>
    </w:p>
    <w:p>
      <w:pPr>
        <w:pStyle w:val="28"/>
        <w:numPr>
          <w:ilvl w:val="2"/>
          <w:numId w:val="0"/>
        </w:numPr>
        <w:ind w:leftChars="0"/>
      </w:pPr>
      <w:r>
        <w:rPr>
          <w:rFonts w:hint="eastAsia" w:ascii="黑体" w:hAnsi="黑体" w:eastAsia="黑体" w:cs="黑体"/>
          <w:lang w:val="en-US" w:eastAsia="zh-CN"/>
        </w:rPr>
        <w:t>5.4.2</w:t>
      </w:r>
      <w:r>
        <w:rPr>
          <w:rFonts w:hint="eastAsia"/>
          <w:lang w:val="en-US" w:eastAsia="zh-CN"/>
        </w:rPr>
        <w:t xml:space="preserve">  </w:t>
      </w:r>
      <w:r>
        <w:rPr>
          <w:rFonts w:hint="eastAsia"/>
        </w:rPr>
        <w:t>统一包装容器宜使用单一材料，包装辅助物应不影响主材的品质及回收利用。</w:t>
      </w:r>
    </w:p>
    <w:p>
      <w:pPr>
        <w:pStyle w:val="27"/>
        <w:numPr>
          <w:ilvl w:val="1"/>
          <w:numId w:val="0"/>
        </w:numPr>
        <w:spacing w:before="156" w:after="156"/>
        <w:ind w:leftChars="0"/>
        <w:rPr>
          <w:rFonts w:hint="default"/>
        </w:rPr>
      </w:pPr>
      <w:r>
        <w:rPr>
          <w:rFonts w:hint="eastAsia"/>
          <w:lang w:val="en-US" w:eastAsia="zh-CN"/>
        </w:rPr>
        <w:t xml:space="preserve">5.5  </w:t>
      </w:r>
      <w:r>
        <w:t>质量要求</w:t>
      </w:r>
    </w:p>
    <w:p>
      <w:pPr>
        <w:pStyle w:val="29"/>
        <w:numPr>
          <w:ilvl w:val="2"/>
          <w:numId w:val="0"/>
        </w:numPr>
        <w:spacing w:before="156" w:after="156"/>
        <w:ind w:leftChars="0"/>
        <w:rPr>
          <w:rFonts w:hint="default"/>
        </w:rPr>
      </w:pPr>
      <w:r>
        <w:rPr>
          <w:rFonts w:hint="eastAsia"/>
          <w:lang w:val="en-US" w:eastAsia="zh-CN"/>
        </w:rPr>
        <w:t xml:space="preserve">5.5.1  </w:t>
      </w:r>
      <w:r>
        <w:t>塑料包装材料</w:t>
      </w:r>
    </w:p>
    <w:p>
      <w:pPr>
        <w:pStyle w:val="30"/>
        <w:numPr>
          <w:ilvl w:val="3"/>
          <w:numId w:val="0"/>
        </w:numPr>
        <w:ind w:leftChars="0"/>
      </w:pPr>
      <w:r>
        <w:rPr>
          <w:rFonts w:hint="eastAsia" w:ascii="黑体" w:hAnsi="黑体" w:eastAsia="黑体" w:cs="黑体"/>
          <w:lang w:val="en-US" w:eastAsia="zh-CN"/>
        </w:rPr>
        <w:t>5.5.1.1</w:t>
      </w:r>
      <w:r>
        <w:rPr>
          <w:rFonts w:hint="eastAsia"/>
          <w:lang w:val="en-US" w:eastAsia="zh-CN"/>
        </w:rPr>
        <w:t xml:space="preserve">  </w:t>
      </w:r>
      <w:r>
        <w:rPr>
          <w:rFonts w:hint="eastAsia"/>
        </w:rPr>
        <w:t>包装材料宜选用聚乙烯（PE）、聚苯乙烯（PS）等材料。</w:t>
      </w:r>
    </w:p>
    <w:p>
      <w:pPr>
        <w:pStyle w:val="30"/>
        <w:numPr>
          <w:ilvl w:val="3"/>
          <w:numId w:val="0"/>
        </w:numPr>
        <w:ind w:leftChars="0"/>
      </w:pPr>
      <w:r>
        <w:rPr>
          <w:rFonts w:hint="eastAsia" w:ascii="黑体" w:hAnsi="黑体" w:eastAsia="黑体" w:cs="黑体"/>
          <w:lang w:val="en-US" w:eastAsia="zh-CN"/>
        </w:rPr>
        <w:t xml:space="preserve">5.5.1.2 </w:t>
      </w:r>
      <w:r>
        <w:rPr>
          <w:rFonts w:hint="eastAsia"/>
          <w:lang w:val="en-US" w:eastAsia="zh-CN"/>
        </w:rPr>
        <w:t xml:space="preserve"> </w:t>
      </w:r>
      <w:r>
        <w:rPr>
          <w:rFonts w:hint="eastAsia"/>
        </w:rPr>
        <w:t>具有与内装物相适应的拉伸性、耐撕裂性、渗透性和化学稳定性等性能。</w:t>
      </w:r>
    </w:p>
    <w:p>
      <w:pPr>
        <w:pStyle w:val="30"/>
        <w:numPr>
          <w:ilvl w:val="3"/>
          <w:numId w:val="0"/>
        </w:numPr>
        <w:ind w:leftChars="0"/>
      </w:pPr>
      <w:r>
        <w:rPr>
          <w:rFonts w:hint="eastAsia" w:ascii="黑体" w:hAnsi="黑体" w:eastAsia="黑体" w:cs="黑体"/>
          <w:lang w:val="en-US" w:eastAsia="zh-CN"/>
        </w:rPr>
        <w:t>5.5.1.3</w:t>
      </w:r>
      <w:r>
        <w:rPr>
          <w:rFonts w:hint="eastAsia"/>
          <w:lang w:val="en-US" w:eastAsia="zh-CN"/>
        </w:rPr>
        <w:t xml:space="preserve">  </w:t>
      </w:r>
      <w:r>
        <w:rPr>
          <w:rFonts w:hint="eastAsia"/>
        </w:rPr>
        <w:t>聚乙烯（PE）树脂、聚丙烯（PP）树脂和聚苯乙烯（PS）树脂应分别符合GB/T 11115、GB/T 12670 和GB/T 12671 的规定。</w:t>
      </w:r>
    </w:p>
    <w:p>
      <w:pPr>
        <w:pStyle w:val="29"/>
        <w:numPr>
          <w:ilvl w:val="2"/>
          <w:numId w:val="0"/>
        </w:numPr>
        <w:spacing w:before="156" w:after="156"/>
        <w:ind w:leftChars="0"/>
        <w:rPr>
          <w:rFonts w:hint="default"/>
        </w:rPr>
      </w:pPr>
      <w:r>
        <w:rPr>
          <w:rFonts w:hint="eastAsia"/>
          <w:lang w:val="en-US" w:eastAsia="zh-CN"/>
        </w:rPr>
        <w:t xml:space="preserve">5.5.2  </w:t>
      </w:r>
      <w:r>
        <w:t>纸包装材料</w:t>
      </w:r>
    </w:p>
    <w:p>
      <w:pPr>
        <w:pStyle w:val="30"/>
        <w:numPr>
          <w:ilvl w:val="3"/>
          <w:numId w:val="0"/>
        </w:numPr>
        <w:ind w:leftChars="0"/>
      </w:pPr>
      <w:r>
        <w:rPr>
          <w:rFonts w:hint="eastAsia" w:ascii="黑体" w:hAnsi="黑体" w:eastAsia="黑体" w:cs="黑体"/>
          <w:lang w:val="en-US" w:eastAsia="zh-CN"/>
        </w:rPr>
        <w:t>5.5.2.1</w:t>
      </w:r>
      <w:r>
        <w:rPr>
          <w:rFonts w:hint="eastAsia"/>
          <w:lang w:val="en-US" w:eastAsia="zh-CN"/>
        </w:rPr>
        <w:t xml:space="preserve">  </w:t>
      </w:r>
      <w:r>
        <w:rPr>
          <w:rFonts w:hint="eastAsia"/>
        </w:rPr>
        <w:t>宜选用箱纸板、瓦楞纸板、蜂窝纸板等。</w:t>
      </w:r>
    </w:p>
    <w:p>
      <w:pPr>
        <w:pStyle w:val="30"/>
        <w:numPr>
          <w:ilvl w:val="3"/>
          <w:numId w:val="0"/>
        </w:numPr>
        <w:ind w:leftChars="0"/>
      </w:pPr>
      <w:r>
        <w:rPr>
          <w:rFonts w:hint="eastAsia" w:ascii="黑体" w:hAnsi="黑体" w:eastAsia="黑体" w:cs="黑体"/>
          <w:lang w:val="en-US" w:eastAsia="zh-CN"/>
        </w:rPr>
        <w:t>5.5.2.2</w:t>
      </w:r>
      <w:r>
        <w:rPr>
          <w:rFonts w:hint="eastAsia"/>
          <w:lang w:val="en-US" w:eastAsia="zh-CN"/>
        </w:rPr>
        <w:t xml:space="preserve">  </w:t>
      </w:r>
      <w:r>
        <w:rPr>
          <w:rFonts w:hint="eastAsia"/>
        </w:rPr>
        <w:t>应具有质量轻、透气性好、折叠性能好、印刷性好等性能。</w:t>
      </w:r>
    </w:p>
    <w:p>
      <w:pPr>
        <w:pStyle w:val="30"/>
        <w:numPr>
          <w:ilvl w:val="3"/>
          <w:numId w:val="0"/>
        </w:numPr>
        <w:ind w:leftChars="0"/>
      </w:pPr>
      <w:r>
        <w:rPr>
          <w:rFonts w:hint="eastAsia" w:ascii="黑体" w:hAnsi="黑体" w:eastAsia="黑体" w:cs="黑体"/>
          <w:lang w:val="en-US" w:eastAsia="zh-CN"/>
        </w:rPr>
        <w:t>5.5.2.3</w:t>
      </w:r>
      <w:r>
        <w:rPr>
          <w:rFonts w:hint="eastAsia"/>
          <w:lang w:val="en-US" w:eastAsia="zh-CN"/>
        </w:rPr>
        <w:t xml:space="preserve">  </w:t>
      </w:r>
      <w:r>
        <w:rPr>
          <w:rFonts w:hint="eastAsia"/>
        </w:rPr>
        <w:t>宜选用氧化法制造的漂白浆纸板，不宜选用氯化法制造的漂白浆纸板。</w:t>
      </w:r>
    </w:p>
    <w:p>
      <w:pPr>
        <w:pStyle w:val="30"/>
        <w:numPr>
          <w:ilvl w:val="3"/>
          <w:numId w:val="0"/>
        </w:numPr>
        <w:ind w:leftChars="0"/>
      </w:pPr>
      <w:r>
        <w:rPr>
          <w:rFonts w:hint="eastAsia" w:ascii="黑体" w:hAnsi="黑体" w:eastAsia="黑体" w:cs="黑体"/>
          <w:lang w:val="en-US" w:eastAsia="zh-CN"/>
        </w:rPr>
        <w:t>5.5.2.4</w:t>
      </w:r>
      <w:r>
        <w:rPr>
          <w:rFonts w:hint="eastAsia"/>
          <w:lang w:val="en-US" w:eastAsia="zh-CN"/>
        </w:rPr>
        <w:t xml:space="preserve">  </w:t>
      </w:r>
      <w:r>
        <w:rPr>
          <w:rFonts w:hint="eastAsia"/>
        </w:rPr>
        <w:t>纸包装材料在加工过程中不应使用偶氮染料，不宜使用多氯联苯（</w:t>
      </w:r>
      <w:r>
        <w:t>PCB</w:t>
      </w:r>
      <w:r>
        <w:rPr>
          <w:rFonts w:hint="eastAsia"/>
        </w:rPr>
        <w:t>）。</w:t>
      </w:r>
    </w:p>
    <w:p>
      <w:pPr>
        <w:pStyle w:val="30"/>
        <w:numPr>
          <w:ilvl w:val="3"/>
          <w:numId w:val="0"/>
        </w:numPr>
        <w:ind w:leftChars="0"/>
      </w:pPr>
      <w:r>
        <w:rPr>
          <w:rFonts w:hint="eastAsia" w:ascii="黑体" w:hAnsi="黑体" w:eastAsia="黑体" w:cs="黑体"/>
          <w:lang w:val="en-US" w:eastAsia="zh-CN"/>
        </w:rPr>
        <w:t>5.5.2.5</w:t>
      </w:r>
      <w:r>
        <w:rPr>
          <w:rFonts w:hint="eastAsia"/>
          <w:lang w:val="en-US" w:eastAsia="zh-CN"/>
        </w:rPr>
        <w:t xml:space="preserve">  </w:t>
      </w:r>
      <w:r>
        <w:rPr>
          <w:rFonts w:hint="eastAsia"/>
        </w:rPr>
        <w:t>瓦楞原纸加工过程当中应控制矿物填料的用量，含量应符合相关法律法规和标准规定。</w:t>
      </w:r>
    </w:p>
    <w:p>
      <w:pPr>
        <w:pStyle w:val="30"/>
        <w:numPr>
          <w:ilvl w:val="3"/>
          <w:numId w:val="0"/>
        </w:numPr>
        <w:ind w:leftChars="0"/>
      </w:pPr>
      <w:r>
        <w:rPr>
          <w:rFonts w:hint="eastAsia" w:ascii="黑体" w:hAnsi="黑体" w:eastAsia="黑体" w:cs="黑体"/>
          <w:lang w:val="en-US" w:eastAsia="zh-CN"/>
        </w:rPr>
        <w:t>5.5.2.6</w:t>
      </w:r>
      <w:r>
        <w:rPr>
          <w:rFonts w:hint="eastAsia"/>
          <w:lang w:val="en-US" w:eastAsia="zh-CN"/>
        </w:rPr>
        <w:t xml:space="preserve">  </w:t>
      </w:r>
      <w:r>
        <w:rPr>
          <w:rFonts w:hint="eastAsia"/>
        </w:rPr>
        <w:t>箱板纸应符合</w:t>
      </w:r>
      <w:r>
        <w:t xml:space="preserve">GB/T 13024 </w:t>
      </w:r>
      <w:r>
        <w:rPr>
          <w:rFonts w:hint="eastAsia"/>
        </w:rPr>
        <w:t>的规定；瓦楞原纸应符合</w:t>
      </w:r>
      <w:r>
        <w:t xml:space="preserve">GB/T 13023 </w:t>
      </w:r>
      <w:r>
        <w:rPr>
          <w:rFonts w:hint="eastAsia"/>
        </w:rPr>
        <w:t>的规定；瓦楞纸符合</w:t>
      </w:r>
      <w:r>
        <w:t xml:space="preserve">GB/T 6544 </w:t>
      </w:r>
      <w:r>
        <w:rPr>
          <w:rFonts w:hint="eastAsia"/>
        </w:rPr>
        <w:t>的规定。</w:t>
      </w:r>
    </w:p>
    <w:p>
      <w:pPr>
        <w:pStyle w:val="29"/>
        <w:numPr>
          <w:ilvl w:val="2"/>
          <w:numId w:val="0"/>
        </w:numPr>
        <w:spacing w:before="156" w:after="156"/>
        <w:ind w:leftChars="0"/>
        <w:rPr>
          <w:rFonts w:hint="default"/>
        </w:rPr>
      </w:pPr>
      <w:r>
        <w:rPr>
          <w:rFonts w:hint="eastAsia"/>
          <w:lang w:val="en-US" w:eastAsia="zh-CN"/>
        </w:rPr>
        <w:t xml:space="preserve">5.5.3  </w:t>
      </w:r>
      <w:r>
        <w:t>木质包装材料</w:t>
      </w:r>
    </w:p>
    <w:p>
      <w:pPr>
        <w:pStyle w:val="30"/>
        <w:numPr>
          <w:ilvl w:val="3"/>
          <w:numId w:val="0"/>
        </w:numPr>
        <w:ind w:leftChars="0"/>
      </w:pPr>
      <w:r>
        <w:rPr>
          <w:rFonts w:hint="eastAsia" w:ascii="黑体" w:hAnsi="黑体" w:eastAsia="黑体" w:cs="黑体"/>
          <w:lang w:val="en-US" w:eastAsia="zh-CN"/>
        </w:rPr>
        <w:t>5.5.3.1</w:t>
      </w:r>
      <w:r>
        <w:rPr>
          <w:rFonts w:hint="eastAsia"/>
          <w:lang w:val="en-US" w:eastAsia="zh-CN"/>
        </w:rPr>
        <w:t xml:space="preserve">  </w:t>
      </w:r>
      <w:r>
        <w:rPr>
          <w:rFonts w:hint="eastAsia"/>
        </w:rPr>
        <w:t>宜选用木、竹、柳、藤等，不应使用含有甲醛类站合剂的胶合板、纤维板、刨花板、竹材胶合板等包装材料。</w:t>
      </w:r>
    </w:p>
    <w:p>
      <w:pPr>
        <w:pStyle w:val="30"/>
        <w:numPr>
          <w:ilvl w:val="3"/>
          <w:numId w:val="0"/>
        </w:numPr>
        <w:ind w:leftChars="0"/>
      </w:pPr>
      <w:r>
        <w:rPr>
          <w:rFonts w:hint="eastAsia" w:ascii="黑体" w:hAnsi="黑体" w:eastAsia="黑体" w:cs="黑体"/>
          <w:lang w:val="en-US" w:eastAsia="zh-CN"/>
        </w:rPr>
        <w:t>5.5.3.2</w:t>
      </w:r>
      <w:r>
        <w:rPr>
          <w:rFonts w:hint="eastAsia"/>
          <w:lang w:val="en-US" w:eastAsia="zh-CN"/>
        </w:rPr>
        <w:t xml:space="preserve">  </w:t>
      </w:r>
      <w:r>
        <w:rPr>
          <w:rFonts w:hint="eastAsia"/>
        </w:rPr>
        <w:t>应具有与内装物相适应强度、阻隔性，不应污染内装物。</w:t>
      </w:r>
    </w:p>
    <w:p>
      <w:pPr>
        <w:pStyle w:val="30"/>
        <w:numPr>
          <w:ilvl w:val="3"/>
          <w:numId w:val="0"/>
        </w:numPr>
        <w:ind w:leftChars="0"/>
      </w:pPr>
      <w:r>
        <w:rPr>
          <w:rFonts w:hint="eastAsia" w:ascii="黑体" w:hAnsi="黑体" w:eastAsia="黑体" w:cs="黑体"/>
          <w:lang w:val="en-US" w:eastAsia="zh-CN"/>
        </w:rPr>
        <w:t>5.5.3.3</w:t>
      </w:r>
      <w:r>
        <w:rPr>
          <w:rFonts w:hint="eastAsia"/>
          <w:lang w:val="en-US" w:eastAsia="zh-CN"/>
        </w:rPr>
        <w:t xml:space="preserve">  </w:t>
      </w:r>
      <w:r>
        <w:rPr>
          <w:rFonts w:hint="eastAsia"/>
        </w:rPr>
        <w:t>必要时应对木材进行热处理或者熏蒸等防虫害处理。</w:t>
      </w:r>
    </w:p>
    <w:p>
      <w:pPr>
        <w:pStyle w:val="30"/>
        <w:numPr>
          <w:ilvl w:val="3"/>
          <w:numId w:val="0"/>
        </w:numPr>
        <w:ind w:leftChars="0"/>
      </w:pPr>
      <w:r>
        <w:rPr>
          <w:rFonts w:hint="eastAsia" w:ascii="黑体" w:hAnsi="黑体" w:eastAsia="黑体" w:cs="黑体"/>
          <w:lang w:val="en-US" w:eastAsia="zh-CN"/>
        </w:rPr>
        <w:t>5.5.3.4</w:t>
      </w:r>
      <w:r>
        <w:rPr>
          <w:rFonts w:hint="eastAsia"/>
          <w:lang w:val="en-US" w:eastAsia="zh-CN"/>
        </w:rPr>
        <w:t xml:space="preserve">  </w:t>
      </w:r>
      <w:r>
        <w:rPr>
          <w:rFonts w:hint="eastAsia"/>
        </w:rPr>
        <w:t>包装花格箱的用材应以落叶松、松木、桦木、榆木、枫杨、荷木等为主。</w:t>
      </w:r>
    </w:p>
    <w:p>
      <w:pPr>
        <w:pStyle w:val="30"/>
        <w:numPr>
          <w:ilvl w:val="3"/>
          <w:numId w:val="0"/>
        </w:numPr>
        <w:ind w:leftChars="0"/>
      </w:pPr>
      <w:r>
        <w:rPr>
          <w:rFonts w:hint="eastAsia" w:ascii="黑体" w:hAnsi="黑体" w:eastAsia="黑体" w:cs="黑体"/>
          <w:lang w:val="en-US" w:eastAsia="zh-CN"/>
        </w:rPr>
        <w:t>5.5.3.5</w:t>
      </w:r>
      <w:r>
        <w:rPr>
          <w:rFonts w:hint="eastAsia"/>
          <w:lang w:val="en-US" w:eastAsia="zh-CN"/>
        </w:rPr>
        <w:t xml:space="preserve">  </w:t>
      </w:r>
      <w:r>
        <w:rPr>
          <w:rFonts w:hint="eastAsia"/>
        </w:rPr>
        <w:t>筐类包装容器柳、藤、竹条应质量良好，无朽烂、无虫蛀。</w:t>
      </w:r>
    </w:p>
    <w:p>
      <w:pPr>
        <w:pStyle w:val="29"/>
        <w:numPr>
          <w:ilvl w:val="2"/>
          <w:numId w:val="0"/>
        </w:numPr>
        <w:spacing w:before="156" w:after="156"/>
        <w:ind w:leftChars="0"/>
        <w:rPr>
          <w:rFonts w:hint="default"/>
        </w:rPr>
      </w:pPr>
      <w:r>
        <w:rPr>
          <w:rFonts w:hint="eastAsia"/>
          <w:lang w:val="en-US" w:eastAsia="zh-CN"/>
        </w:rPr>
        <w:t xml:space="preserve">5.5.4  </w:t>
      </w:r>
      <w:r>
        <w:t>纤维包装材料</w:t>
      </w:r>
    </w:p>
    <w:p>
      <w:pPr>
        <w:pStyle w:val="30"/>
        <w:numPr>
          <w:ilvl w:val="3"/>
          <w:numId w:val="0"/>
        </w:numPr>
        <w:ind w:leftChars="0"/>
      </w:pPr>
      <w:r>
        <w:rPr>
          <w:rFonts w:hint="eastAsia" w:ascii="黑体" w:hAnsi="黑体" w:eastAsia="黑体" w:cs="黑体"/>
          <w:lang w:val="en-US" w:eastAsia="zh-CN"/>
        </w:rPr>
        <w:t>5.5.4.1</w:t>
      </w:r>
      <w:r>
        <w:rPr>
          <w:rFonts w:hint="eastAsia"/>
          <w:lang w:val="en-US" w:eastAsia="zh-CN"/>
        </w:rPr>
        <w:t xml:space="preserve">  </w:t>
      </w:r>
      <w:r>
        <w:rPr>
          <w:rFonts w:hint="eastAsia"/>
        </w:rPr>
        <w:t>可选用天然植物纤维和化学纤维等材料。</w:t>
      </w:r>
    </w:p>
    <w:p>
      <w:pPr>
        <w:pStyle w:val="30"/>
        <w:numPr>
          <w:ilvl w:val="3"/>
          <w:numId w:val="0"/>
        </w:numPr>
        <w:ind w:leftChars="0"/>
        <w:rPr>
          <w:rFonts w:hAnsi="宋体" w:cs="宋体"/>
          <w:sz w:val="22"/>
          <w:szCs w:val="22"/>
        </w:rPr>
      </w:pPr>
      <w:r>
        <w:rPr>
          <w:rFonts w:hint="eastAsia" w:ascii="黑体" w:hAnsi="黑体" w:eastAsia="黑体" w:cs="黑体"/>
          <w:lang w:val="en-US" w:eastAsia="zh-CN"/>
        </w:rPr>
        <w:t>5.5.4.2</w:t>
      </w:r>
      <w:r>
        <w:rPr>
          <w:rFonts w:hint="eastAsia"/>
          <w:lang w:val="en-US" w:eastAsia="zh-CN"/>
        </w:rPr>
        <w:t xml:space="preserve">  </w:t>
      </w:r>
      <w:r>
        <w:rPr>
          <w:rFonts w:hint="eastAsia"/>
        </w:rPr>
        <w:t>应具有透气性好、易洗涤等性能，以及与内饰物相适应的密度、单位面积质量、断裂强度、断裂伸长率和撕裂强度等性能。</w:t>
      </w:r>
    </w:p>
    <w:p>
      <w:pPr>
        <w:pStyle w:val="26"/>
        <w:keepNext w:val="0"/>
        <w:keepLines w:val="0"/>
        <w:pageBreakBefore w:val="0"/>
        <w:widowControl/>
        <w:numPr>
          <w:ilvl w:val="0"/>
          <w:numId w:val="0"/>
        </w:numPr>
        <w:kinsoku/>
        <w:wordWrap/>
        <w:overflowPunct/>
        <w:topLinePunct w:val="0"/>
        <w:autoSpaceDE/>
        <w:autoSpaceDN/>
        <w:bidi w:val="0"/>
        <w:adjustRightInd/>
        <w:snapToGrid/>
        <w:spacing w:before="313" w:beforeLines="100" w:after="313" w:afterLines="100" w:line="240" w:lineRule="auto"/>
        <w:textAlignment w:val="auto"/>
        <w:rPr>
          <w:rFonts w:hint="eastAsia"/>
        </w:rPr>
      </w:pPr>
      <w:r>
        <w:rPr>
          <w:rFonts w:hint="eastAsia"/>
        </w:rPr>
        <w:t xml:space="preserve">6   </w:t>
      </w:r>
      <w:r>
        <w:rPr>
          <w:rFonts w:hint="eastAsia"/>
          <w:lang w:eastAsia="zh-CN"/>
        </w:rPr>
        <w:t>大豆</w:t>
      </w:r>
      <w:r>
        <w:rPr>
          <w:rFonts w:hint="eastAsia"/>
        </w:rPr>
        <w:t>包装</w:t>
      </w:r>
    </w:p>
    <w:p>
      <w:pPr>
        <w:pStyle w:val="29"/>
        <w:numPr>
          <w:ilvl w:val="2"/>
          <w:numId w:val="0"/>
        </w:numPr>
        <w:spacing w:before="156" w:after="156"/>
        <w:ind w:leftChars="0"/>
        <w:rPr>
          <w:rFonts w:hint="eastAsia"/>
          <w:lang w:val="en-US" w:eastAsia="zh-CN"/>
        </w:rPr>
      </w:pPr>
      <w:r>
        <w:rPr>
          <w:rFonts w:hint="eastAsia"/>
          <w:lang w:val="en-US" w:eastAsia="zh-CN"/>
        </w:rPr>
        <w:t>6.1  基本要求</w:t>
      </w:r>
    </w:p>
    <w:p>
      <w:pPr>
        <w:autoSpaceDE w:val="0"/>
        <w:autoSpaceDN w:val="0"/>
        <w:adjustRightInd w:val="0"/>
        <w:jc w:val="left"/>
        <w:rPr>
          <w:rFonts w:ascii="宋体" w:hAnsi="宋体" w:cs="宋体"/>
          <w:kern w:val="0"/>
          <w:sz w:val="22"/>
          <w:szCs w:val="22"/>
        </w:rPr>
      </w:pPr>
      <w:r>
        <w:rPr>
          <w:rFonts w:hint="eastAsia" w:ascii="黑体" w:eastAsia="黑体"/>
          <w:kern w:val="0"/>
          <w:szCs w:val="20"/>
        </w:rPr>
        <w:t>6.1</w:t>
      </w:r>
      <w:r>
        <w:rPr>
          <w:rFonts w:ascii="黑体" w:eastAsia="黑体"/>
          <w:kern w:val="0"/>
          <w:szCs w:val="20"/>
        </w:rPr>
        <w:t>.1</w:t>
      </w:r>
      <w:r>
        <w:rPr>
          <w:rFonts w:hint="eastAsia" w:ascii="黑体" w:eastAsia="黑体"/>
          <w:kern w:val="0"/>
          <w:szCs w:val="20"/>
        </w:rPr>
        <w:t xml:space="preserve">  </w:t>
      </w:r>
      <w:r>
        <w:rPr>
          <w:rFonts w:hint="eastAsia" w:ascii="宋体" w:hAnsi="宋体" w:cs="宋体"/>
          <w:kern w:val="0"/>
          <w:sz w:val="22"/>
          <w:szCs w:val="22"/>
        </w:rPr>
        <w:t>同一包装内的</w:t>
      </w:r>
      <w:r>
        <w:rPr>
          <w:rFonts w:hint="eastAsia" w:ascii="宋体" w:hAnsi="宋体" w:cs="宋体"/>
          <w:kern w:val="0"/>
          <w:sz w:val="22"/>
          <w:szCs w:val="22"/>
          <w:lang w:eastAsia="zh-CN"/>
        </w:rPr>
        <w:t>大豆</w:t>
      </w:r>
      <w:r>
        <w:rPr>
          <w:rFonts w:hint="eastAsia" w:ascii="宋体" w:hAnsi="宋体" w:cs="宋体"/>
          <w:kern w:val="0"/>
          <w:sz w:val="22"/>
          <w:szCs w:val="22"/>
        </w:rPr>
        <w:t>产</w:t>
      </w:r>
      <w:r>
        <w:rPr>
          <w:rFonts w:ascii="宋体" w:hAnsi="宋体" w:cs="宋体"/>
          <w:kern w:val="0"/>
          <w:sz w:val="22"/>
          <w:szCs w:val="22"/>
        </w:rPr>
        <w:t>地、品种、等</w:t>
      </w:r>
      <w:r>
        <w:rPr>
          <w:rFonts w:hint="eastAsia" w:ascii="宋体" w:hAnsi="宋体" w:cs="宋体"/>
          <w:kern w:val="0"/>
          <w:sz w:val="22"/>
          <w:szCs w:val="22"/>
        </w:rPr>
        <w:t>级应</w:t>
      </w:r>
      <w:r>
        <w:rPr>
          <w:rFonts w:ascii="宋体" w:hAnsi="宋体" w:cs="宋体"/>
          <w:kern w:val="0"/>
          <w:sz w:val="22"/>
          <w:szCs w:val="22"/>
        </w:rPr>
        <w:t>一致；包装内</w:t>
      </w:r>
      <w:r>
        <w:rPr>
          <w:rFonts w:hint="eastAsia" w:ascii="宋体" w:hAnsi="宋体" w:cs="宋体"/>
          <w:kern w:val="0"/>
          <w:sz w:val="22"/>
          <w:szCs w:val="22"/>
          <w:lang w:eastAsia="zh-CN"/>
        </w:rPr>
        <w:t>大豆</w:t>
      </w:r>
      <w:r>
        <w:rPr>
          <w:rFonts w:ascii="宋体" w:hAnsi="宋体" w:cs="宋体"/>
          <w:kern w:val="0"/>
          <w:sz w:val="22"/>
          <w:szCs w:val="22"/>
        </w:rPr>
        <w:t>的可</w:t>
      </w:r>
      <w:r>
        <w:rPr>
          <w:rFonts w:hint="eastAsia" w:ascii="宋体" w:hAnsi="宋体" w:cs="宋体"/>
          <w:kern w:val="0"/>
          <w:sz w:val="22"/>
          <w:szCs w:val="22"/>
        </w:rPr>
        <w:t>视</w:t>
      </w:r>
      <w:r>
        <w:rPr>
          <w:rFonts w:ascii="宋体" w:hAnsi="宋体" w:cs="宋体"/>
          <w:kern w:val="0"/>
          <w:sz w:val="22"/>
          <w:szCs w:val="22"/>
        </w:rPr>
        <w:t>部分</w:t>
      </w:r>
      <w:r>
        <w:rPr>
          <w:rFonts w:hint="eastAsia" w:ascii="宋体" w:hAnsi="宋体" w:cs="宋体"/>
          <w:kern w:val="0"/>
          <w:sz w:val="22"/>
          <w:szCs w:val="22"/>
        </w:rPr>
        <w:t>应</w:t>
      </w:r>
      <w:r>
        <w:rPr>
          <w:rFonts w:ascii="宋体" w:hAnsi="宋体" w:cs="宋体"/>
          <w:kern w:val="0"/>
          <w:sz w:val="22"/>
          <w:szCs w:val="22"/>
        </w:rPr>
        <w:t>能</w:t>
      </w:r>
      <w:r>
        <w:rPr>
          <w:rFonts w:hint="eastAsia" w:ascii="宋体" w:hAnsi="宋体" w:cs="宋体"/>
          <w:kern w:val="0"/>
          <w:sz w:val="22"/>
          <w:szCs w:val="22"/>
        </w:rPr>
        <w:t>够</w:t>
      </w:r>
      <w:r>
        <w:rPr>
          <w:rFonts w:ascii="宋体" w:hAnsi="宋体" w:cs="宋体"/>
          <w:kern w:val="0"/>
          <w:sz w:val="22"/>
          <w:szCs w:val="22"/>
        </w:rPr>
        <w:t>代表包装内全部</w:t>
      </w:r>
      <w:r>
        <w:rPr>
          <w:rFonts w:hint="eastAsia" w:ascii="宋体" w:hAnsi="宋体" w:cs="宋体"/>
          <w:kern w:val="0"/>
          <w:sz w:val="22"/>
          <w:szCs w:val="22"/>
          <w:lang w:eastAsia="zh-CN"/>
        </w:rPr>
        <w:t>大豆</w:t>
      </w:r>
      <w:r>
        <w:rPr>
          <w:rFonts w:hint="eastAsia" w:ascii="宋体" w:hAnsi="宋体" w:cs="宋体"/>
          <w:kern w:val="0"/>
          <w:sz w:val="22"/>
          <w:szCs w:val="22"/>
        </w:rPr>
        <w:t>。</w:t>
      </w:r>
    </w:p>
    <w:p>
      <w:pPr>
        <w:autoSpaceDE w:val="0"/>
        <w:autoSpaceDN w:val="0"/>
        <w:adjustRightInd w:val="0"/>
        <w:jc w:val="left"/>
        <w:rPr>
          <w:rFonts w:ascii="宋体" w:hAnsi="宋体" w:cs="宋体"/>
          <w:kern w:val="0"/>
          <w:sz w:val="22"/>
          <w:szCs w:val="22"/>
        </w:rPr>
      </w:pPr>
      <w:r>
        <w:rPr>
          <w:rFonts w:hint="eastAsia" w:ascii="黑体" w:eastAsia="黑体"/>
          <w:kern w:val="0"/>
          <w:szCs w:val="20"/>
        </w:rPr>
        <w:t>6.1</w:t>
      </w:r>
      <w:r>
        <w:rPr>
          <w:rFonts w:ascii="黑体" w:eastAsia="黑体"/>
          <w:kern w:val="0"/>
          <w:szCs w:val="20"/>
        </w:rPr>
        <w:t>.2</w:t>
      </w:r>
      <w:r>
        <w:rPr>
          <w:rFonts w:hint="eastAsia" w:ascii="黑体" w:eastAsia="黑体"/>
          <w:kern w:val="0"/>
          <w:szCs w:val="20"/>
        </w:rPr>
        <w:t xml:space="preserve">  </w:t>
      </w:r>
      <w:r>
        <w:rPr>
          <w:rFonts w:ascii="Courier New" w:hAnsi="Courier New" w:cs="Courier New"/>
          <w:sz w:val="23"/>
          <w:szCs w:val="23"/>
          <w:shd w:val="clear" w:color="auto" w:fill="FFFFFF"/>
        </w:rPr>
        <w:t>包装场地要求通风、</w:t>
      </w:r>
      <w:r>
        <w:rPr>
          <w:rFonts w:hint="eastAsia" w:ascii="Courier New" w:hAnsi="Courier New" w:cs="Courier New"/>
          <w:sz w:val="23"/>
          <w:szCs w:val="23"/>
          <w:shd w:val="clear" w:color="auto" w:fill="FFFFFF"/>
        </w:rPr>
        <w:t>干燥、清洁</w:t>
      </w:r>
      <w:r>
        <w:rPr>
          <w:rFonts w:ascii="Courier New" w:hAnsi="Courier New" w:cs="Courier New"/>
          <w:sz w:val="23"/>
          <w:szCs w:val="23"/>
          <w:shd w:val="clear" w:color="auto" w:fill="FFFFFF"/>
        </w:rPr>
        <w:t>、卫生。</w:t>
      </w:r>
    </w:p>
    <w:p>
      <w:pPr>
        <w:autoSpaceDE w:val="0"/>
        <w:autoSpaceDN w:val="0"/>
        <w:adjustRightInd w:val="0"/>
        <w:jc w:val="left"/>
        <w:rPr>
          <w:rFonts w:hint="eastAsia" w:ascii="宋体" w:hAnsi="宋体" w:cs="宋体"/>
          <w:kern w:val="0"/>
          <w:sz w:val="22"/>
          <w:szCs w:val="22"/>
        </w:rPr>
      </w:pPr>
      <w:r>
        <w:rPr>
          <w:rFonts w:hint="eastAsia" w:ascii="黑体" w:eastAsia="黑体"/>
          <w:kern w:val="0"/>
          <w:szCs w:val="20"/>
        </w:rPr>
        <w:t>6.1</w:t>
      </w:r>
      <w:r>
        <w:rPr>
          <w:rFonts w:ascii="黑体" w:eastAsia="黑体"/>
          <w:kern w:val="0"/>
          <w:szCs w:val="20"/>
        </w:rPr>
        <w:t>.3</w:t>
      </w:r>
      <w:r>
        <w:rPr>
          <w:rFonts w:hint="eastAsia" w:ascii="黑体" w:eastAsia="黑体"/>
          <w:kern w:val="0"/>
          <w:szCs w:val="20"/>
        </w:rPr>
        <w:t xml:space="preserve">  </w:t>
      </w:r>
      <w:r>
        <w:rPr>
          <w:rFonts w:hint="eastAsia" w:ascii="宋体" w:hAnsi="宋体" w:cs="宋体"/>
          <w:kern w:val="0"/>
          <w:sz w:val="22"/>
          <w:szCs w:val="22"/>
        </w:rPr>
        <w:t>尽量减少材料使用总量。</w:t>
      </w:r>
    </w:p>
    <w:p>
      <w:pPr>
        <w:pStyle w:val="29"/>
        <w:numPr>
          <w:ilvl w:val="2"/>
          <w:numId w:val="0"/>
        </w:numPr>
        <w:spacing w:before="156" w:after="156"/>
        <w:ind w:leftChars="0"/>
        <w:rPr>
          <w:rFonts w:hint="eastAsia"/>
          <w:lang w:val="en-US" w:eastAsia="zh-CN"/>
        </w:rPr>
      </w:pPr>
      <w:r>
        <w:rPr>
          <w:rFonts w:hint="eastAsia"/>
          <w:lang w:val="en-US" w:eastAsia="zh-CN"/>
        </w:rPr>
        <w:t>6.2  包装方法</w:t>
      </w:r>
    </w:p>
    <w:p>
      <w:pPr>
        <w:widowControl/>
        <w:rPr>
          <w:rFonts w:hint="eastAsia" w:ascii="宋体" w:hAnsi="宋体" w:cs="宋体"/>
          <w:kern w:val="0"/>
          <w:sz w:val="22"/>
          <w:szCs w:val="22"/>
        </w:rPr>
      </w:pPr>
      <w:r>
        <w:rPr>
          <w:rFonts w:hint="eastAsia" w:ascii="黑体" w:eastAsia="黑体"/>
          <w:kern w:val="0"/>
          <w:szCs w:val="20"/>
        </w:rPr>
        <w:t>6.</w:t>
      </w:r>
      <w:r>
        <w:rPr>
          <w:rFonts w:hint="eastAsia" w:ascii="黑体" w:eastAsia="黑体"/>
          <w:kern w:val="0"/>
          <w:szCs w:val="20"/>
          <w:lang w:val="en-US" w:eastAsia="zh-CN"/>
        </w:rPr>
        <w:t>2</w:t>
      </w:r>
      <w:r>
        <w:rPr>
          <w:rFonts w:ascii="黑体" w:eastAsia="黑体"/>
          <w:kern w:val="0"/>
          <w:szCs w:val="20"/>
        </w:rPr>
        <w:t>.1</w:t>
      </w:r>
      <w:r>
        <w:rPr>
          <w:rFonts w:hint="eastAsia" w:ascii="黑体" w:eastAsia="黑体"/>
          <w:kern w:val="0"/>
          <w:szCs w:val="20"/>
        </w:rPr>
        <w:t xml:space="preserve">  </w:t>
      </w:r>
      <w:r>
        <w:rPr>
          <w:rFonts w:hint="eastAsia" w:ascii="宋体" w:hAnsi="宋体" w:cs="宋体"/>
          <w:kern w:val="0"/>
          <w:sz w:val="22"/>
          <w:szCs w:val="22"/>
        </w:rPr>
        <w:t>根据包装容器规格（箱、筐、袋等）采用直立、水平或其他排列方式包装。</w:t>
      </w:r>
    </w:p>
    <w:p>
      <w:pPr>
        <w:widowControl/>
        <w:rPr>
          <w:rFonts w:hint="eastAsia" w:ascii="宋体" w:hAnsi="宋体" w:cs="宋体"/>
          <w:kern w:val="0"/>
          <w:sz w:val="22"/>
          <w:szCs w:val="22"/>
        </w:rPr>
      </w:pPr>
      <w:r>
        <w:rPr>
          <w:rFonts w:hint="eastAsia" w:ascii="黑体" w:eastAsia="黑体"/>
          <w:kern w:val="0"/>
          <w:szCs w:val="20"/>
        </w:rPr>
        <w:t>6.</w:t>
      </w:r>
      <w:r>
        <w:rPr>
          <w:rFonts w:hint="eastAsia" w:ascii="黑体" w:eastAsia="黑体"/>
          <w:kern w:val="0"/>
          <w:szCs w:val="20"/>
          <w:lang w:val="en-US" w:eastAsia="zh-CN"/>
        </w:rPr>
        <w:t>2</w:t>
      </w:r>
      <w:r>
        <w:rPr>
          <w:rFonts w:ascii="黑体" w:eastAsia="黑体"/>
          <w:kern w:val="0"/>
          <w:szCs w:val="20"/>
        </w:rPr>
        <w:t>.2</w:t>
      </w:r>
      <w:r>
        <w:rPr>
          <w:rFonts w:hint="eastAsia" w:ascii="黑体" w:eastAsia="黑体"/>
          <w:kern w:val="0"/>
          <w:szCs w:val="20"/>
        </w:rPr>
        <w:t xml:space="preserve">  </w:t>
      </w:r>
      <w:r>
        <w:rPr>
          <w:rFonts w:hint="eastAsia" w:ascii="宋体" w:hAnsi="宋体" w:cs="宋体"/>
          <w:kern w:val="0"/>
          <w:sz w:val="22"/>
          <w:szCs w:val="22"/>
        </w:rPr>
        <w:t>包装容器内应加支撑物或衬垫物，减少产品的展动和碰撞。</w:t>
      </w:r>
    </w:p>
    <w:p>
      <w:pPr>
        <w:widowControl/>
        <w:rPr>
          <w:rFonts w:hint="eastAsia" w:ascii="宋体" w:hAnsi="宋体" w:cs="宋体"/>
          <w:kern w:val="0"/>
          <w:sz w:val="22"/>
          <w:szCs w:val="22"/>
        </w:rPr>
      </w:pPr>
      <w:r>
        <w:rPr>
          <w:rFonts w:hint="eastAsia" w:ascii="黑体" w:eastAsia="黑体"/>
          <w:kern w:val="0"/>
          <w:szCs w:val="20"/>
        </w:rPr>
        <w:t>6.</w:t>
      </w:r>
      <w:r>
        <w:rPr>
          <w:rFonts w:hint="eastAsia" w:ascii="黑体" w:eastAsia="黑体"/>
          <w:kern w:val="0"/>
          <w:szCs w:val="20"/>
          <w:lang w:val="en-US" w:eastAsia="zh-CN"/>
        </w:rPr>
        <w:t>2</w:t>
      </w:r>
      <w:r>
        <w:rPr>
          <w:rFonts w:ascii="黑体" w:eastAsia="黑体"/>
          <w:kern w:val="0"/>
          <w:szCs w:val="20"/>
        </w:rPr>
        <w:t>.3</w:t>
      </w:r>
      <w:r>
        <w:rPr>
          <w:rFonts w:hint="eastAsia" w:ascii="黑体" w:eastAsia="黑体"/>
          <w:kern w:val="0"/>
          <w:szCs w:val="20"/>
        </w:rPr>
        <w:t xml:space="preserve">  </w:t>
      </w:r>
      <w:r>
        <w:rPr>
          <w:rFonts w:hint="eastAsia" w:ascii="宋体" w:hAnsi="宋体" w:cs="宋体"/>
          <w:kern w:val="0"/>
          <w:sz w:val="22"/>
          <w:szCs w:val="22"/>
        </w:rPr>
        <w:t>每个包装件的重量可根据搬运和操作方式而定，一般不超过20 kg。</w:t>
      </w:r>
    </w:p>
    <w:p>
      <w:pPr>
        <w:widowControl/>
        <w:rPr>
          <w:rFonts w:ascii="宋体" w:hAnsi="宋体" w:cs="宋体"/>
          <w:kern w:val="0"/>
          <w:sz w:val="22"/>
          <w:szCs w:val="22"/>
        </w:rPr>
      </w:pPr>
      <w:r>
        <w:rPr>
          <w:rFonts w:hint="eastAsia" w:ascii="黑体" w:eastAsia="黑体"/>
          <w:kern w:val="0"/>
          <w:szCs w:val="20"/>
        </w:rPr>
        <w:t>6.</w:t>
      </w:r>
      <w:r>
        <w:rPr>
          <w:rFonts w:hint="eastAsia" w:ascii="黑体" w:eastAsia="黑体"/>
          <w:kern w:val="0"/>
          <w:szCs w:val="20"/>
          <w:lang w:val="en-US" w:eastAsia="zh-CN"/>
        </w:rPr>
        <w:t>2</w:t>
      </w:r>
      <w:r>
        <w:rPr>
          <w:rFonts w:ascii="黑体" w:eastAsia="黑体"/>
          <w:kern w:val="0"/>
          <w:szCs w:val="20"/>
        </w:rPr>
        <w:t>.4</w:t>
      </w:r>
      <w:r>
        <w:rPr>
          <w:rFonts w:hint="eastAsia" w:ascii="黑体" w:eastAsia="黑体"/>
          <w:kern w:val="0"/>
          <w:szCs w:val="20"/>
        </w:rPr>
        <w:t xml:space="preserve">  </w:t>
      </w:r>
      <w:r>
        <w:rPr>
          <w:rFonts w:hint="eastAsia" w:ascii="宋体" w:hAnsi="宋体" w:cs="宋体"/>
          <w:kern w:val="0"/>
          <w:sz w:val="22"/>
          <w:szCs w:val="22"/>
        </w:rPr>
        <w:t>产品包装和装卸时应轻拿轻放，登高用面积较大的脚踏板，不可直接踩箱。</w:t>
      </w:r>
    </w:p>
    <w:p>
      <w:pPr>
        <w:pStyle w:val="29"/>
        <w:numPr>
          <w:ilvl w:val="2"/>
          <w:numId w:val="0"/>
        </w:numPr>
        <w:spacing w:before="156" w:after="156"/>
        <w:ind w:leftChars="0"/>
        <w:rPr>
          <w:rFonts w:hint="eastAsia"/>
          <w:lang w:val="en-US" w:eastAsia="zh-CN"/>
        </w:rPr>
      </w:pPr>
      <w:r>
        <w:rPr>
          <w:rFonts w:hint="eastAsia"/>
          <w:lang w:val="en-US" w:eastAsia="zh-CN"/>
        </w:rPr>
        <w:t>6.3  包装要求</w:t>
      </w:r>
    </w:p>
    <w:p>
      <w:pPr>
        <w:widowControl/>
        <w:shd w:val="clear" w:color="auto" w:fill="FFFFFF"/>
        <w:jc w:val="left"/>
        <w:rPr>
          <w:rFonts w:hint="eastAsia" w:ascii="宋体" w:hAnsi="宋体" w:cs="宋体"/>
          <w:kern w:val="0"/>
          <w:sz w:val="22"/>
          <w:szCs w:val="22"/>
        </w:rPr>
      </w:pPr>
      <w:r>
        <w:rPr>
          <w:rFonts w:hint="eastAsia" w:ascii="黑体" w:eastAsia="黑体"/>
          <w:kern w:val="0"/>
          <w:szCs w:val="20"/>
        </w:rPr>
        <w:t>6.</w:t>
      </w:r>
      <w:r>
        <w:rPr>
          <w:rFonts w:hint="eastAsia" w:ascii="黑体" w:eastAsia="黑体"/>
          <w:kern w:val="0"/>
          <w:szCs w:val="20"/>
          <w:lang w:val="en-US" w:eastAsia="zh-CN"/>
        </w:rPr>
        <w:t>3</w:t>
      </w:r>
      <w:r>
        <w:rPr>
          <w:rFonts w:ascii="黑体" w:eastAsia="黑体"/>
          <w:kern w:val="0"/>
          <w:szCs w:val="20"/>
        </w:rPr>
        <w:t>.1</w:t>
      </w:r>
      <w:r>
        <w:rPr>
          <w:rFonts w:hint="eastAsia" w:ascii="黑体" w:eastAsia="黑体"/>
          <w:kern w:val="0"/>
          <w:szCs w:val="20"/>
        </w:rPr>
        <w:t xml:space="preserve"> </w:t>
      </w:r>
      <w:r>
        <w:rPr>
          <w:rFonts w:hint="eastAsia" w:ascii="宋体" w:hAnsi="宋体" w:cs="宋体"/>
          <w:kern w:val="0"/>
          <w:sz w:val="22"/>
          <w:szCs w:val="22"/>
        </w:rPr>
        <w:t xml:space="preserve"> 分格</w:t>
      </w:r>
      <w:r>
        <w:rPr>
          <w:rFonts w:ascii="宋体" w:hAnsi="宋体" w:cs="宋体"/>
          <w:kern w:val="0"/>
          <w:sz w:val="22"/>
          <w:szCs w:val="22"/>
        </w:rPr>
        <w:t>、分层包装的</w:t>
      </w:r>
      <w:r>
        <w:rPr>
          <w:rFonts w:hint="eastAsia" w:ascii="宋体" w:hAnsi="宋体" w:cs="宋体"/>
          <w:kern w:val="0"/>
          <w:sz w:val="22"/>
          <w:szCs w:val="22"/>
          <w:lang w:eastAsia="zh-CN"/>
        </w:rPr>
        <w:t>大豆</w:t>
      </w:r>
      <w:r>
        <w:rPr>
          <w:rFonts w:ascii="宋体" w:hAnsi="宋体" w:cs="宋体"/>
          <w:kern w:val="0"/>
          <w:sz w:val="22"/>
          <w:szCs w:val="22"/>
        </w:rPr>
        <w:t>不应有空格、空层。</w:t>
      </w:r>
    </w:p>
    <w:p>
      <w:pPr>
        <w:widowControl/>
        <w:shd w:val="clear" w:color="auto" w:fill="FFFFFF"/>
        <w:jc w:val="left"/>
        <w:rPr>
          <w:rFonts w:hint="eastAsia" w:ascii="宋体" w:hAnsi="宋体" w:cs="宋体"/>
          <w:kern w:val="0"/>
          <w:sz w:val="22"/>
          <w:szCs w:val="22"/>
        </w:rPr>
      </w:pPr>
      <w:r>
        <w:rPr>
          <w:rFonts w:hint="eastAsia" w:ascii="黑体" w:eastAsia="黑体"/>
          <w:kern w:val="0"/>
          <w:szCs w:val="20"/>
        </w:rPr>
        <w:t>6.</w:t>
      </w:r>
      <w:r>
        <w:rPr>
          <w:rFonts w:hint="eastAsia" w:ascii="黑体" w:eastAsia="黑体"/>
          <w:kern w:val="0"/>
          <w:szCs w:val="20"/>
          <w:lang w:val="en-US" w:eastAsia="zh-CN"/>
        </w:rPr>
        <w:t>3</w:t>
      </w:r>
      <w:r>
        <w:rPr>
          <w:rFonts w:ascii="黑体" w:eastAsia="黑体"/>
          <w:kern w:val="0"/>
          <w:szCs w:val="20"/>
        </w:rPr>
        <w:t>.2</w:t>
      </w:r>
      <w:r>
        <w:rPr>
          <w:rFonts w:hint="eastAsia" w:ascii="黑体" w:eastAsia="黑体"/>
          <w:kern w:val="0"/>
          <w:szCs w:val="20"/>
        </w:rPr>
        <w:t xml:space="preserve">  </w:t>
      </w:r>
      <w:r>
        <w:rPr>
          <w:rFonts w:hint="eastAsia" w:ascii="宋体" w:hAnsi="宋体" w:cs="宋体"/>
          <w:kern w:val="0"/>
          <w:sz w:val="22"/>
          <w:szCs w:val="22"/>
        </w:rPr>
        <w:t>纸箱可用胶粘带粘牢或采用粘合剂粘合，也可用低碳钢扁丝钉牢。</w:t>
      </w:r>
    </w:p>
    <w:p>
      <w:pPr>
        <w:widowControl/>
        <w:shd w:val="clear" w:color="auto" w:fill="FFFFFF"/>
        <w:jc w:val="left"/>
        <w:rPr>
          <w:rFonts w:ascii="宋体"/>
          <w:kern w:val="0"/>
          <w:szCs w:val="21"/>
        </w:rPr>
      </w:pPr>
      <w:r>
        <w:rPr>
          <w:rFonts w:hint="eastAsia" w:ascii="黑体" w:eastAsia="黑体"/>
          <w:kern w:val="0"/>
          <w:szCs w:val="20"/>
        </w:rPr>
        <w:t>6.</w:t>
      </w:r>
      <w:r>
        <w:rPr>
          <w:rFonts w:hint="eastAsia" w:ascii="黑体" w:eastAsia="黑体"/>
          <w:kern w:val="0"/>
          <w:szCs w:val="20"/>
          <w:lang w:val="en-US" w:eastAsia="zh-CN"/>
        </w:rPr>
        <w:t>3</w:t>
      </w:r>
      <w:r>
        <w:rPr>
          <w:rFonts w:ascii="黑体" w:eastAsia="黑体"/>
          <w:kern w:val="0"/>
          <w:szCs w:val="20"/>
        </w:rPr>
        <w:t>.3</w:t>
      </w:r>
      <w:r>
        <w:rPr>
          <w:rFonts w:hint="eastAsia" w:ascii="黑体" w:eastAsia="黑体"/>
          <w:kern w:val="0"/>
          <w:szCs w:val="20"/>
        </w:rPr>
        <w:t xml:space="preserve">  </w:t>
      </w:r>
      <w:r>
        <w:rPr>
          <w:rFonts w:hint="eastAsia" w:ascii="Courier New" w:hAnsi="Courier New" w:cs="Courier New"/>
          <w:kern w:val="0"/>
          <w:sz w:val="23"/>
          <w:szCs w:val="23"/>
        </w:rPr>
        <w:t>塑料盒、袋包装封口应严密、</w:t>
      </w:r>
      <w:r>
        <w:rPr>
          <w:rFonts w:ascii="Courier New" w:hAnsi="Courier New" w:cs="Courier New"/>
          <w:kern w:val="0"/>
          <w:sz w:val="23"/>
          <w:szCs w:val="23"/>
        </w:rPr>
        <w:t>牢固</w:t>
      </w:r>
      <w:r>
        <w:rPr>
          <w:rFonts w:hint="eastAsia" w:ascii="Courier New" w:hAnsi="Courier New" w:cs="Courier New"/>
          <w:kern w:val="0"/>
          <w:sz w:val="23"/>
          <w:szCs w:val="23"/>
        </w:rPr>
        <w:t>、端正，无破损。</w:t>
      </w:r>
    </w:p>
    <w:p>
      <w:pPr>
        <w:pStyle w:val="26"/>
        <w:numPr>
          <w:ilvl w:val="0"/>
          <w:numId w:val="0"/>
        </w:numPr>
        <w:spacing w:before="312" w:after="312"/>
        <w:rPr>
          <w:rFonts w:hint="default" w:hAnsi="黑体" w:cs="黑体"/>
          <w:bCs/>
        </w:rPr>
      </w:pPr>
      <w:r>
        <w:rPr>
          <w:rFonts w:hint="default" w:hAnsi="黑体" w:cs="黑体"/>
          <w:bCs/>
        </w:rPr>
        <w:t>7</w:t>
      </w:r>
      <w:r>
        <w:rPr>
          <w:rFonts w:hAnsi="黑体" w:cs="黑体"/>
          <w:bCs/>
        </w:rPr>
        <w:t xml:space="preserve">  标识</w:t>
      </w:r>
    </w:p>
    <w:p>
      <w:pPr>
        <w:pStyle w:val="28"/>
        <w:numPr>
          <w:ilvl w:val="2"/>
          <w:numId w:val="0"/>
        </w:numPr>
      </w:pPr>
      <w:r>
        <w:rPr>
          <w:rFonts w:hint="eastAsia" w:ascii="黑体" w:hAnsi="黑体" w:eastAsia="黑体" w:cs="黑体"/>
        </w:rPr>
        <w:t xml:space="preserve">7.1 </w:t>
      </w:r>
      <w:r>
        <w:rPr>
          <w:rFonts w:hint="eastAsia"/>
        </w:rPr>
        <w:t xml:space="preserve"> 商品标识应符合GB/T 191的相关规定。</w:t>
      </w:r>
    </w:p>
    <w:p>
      <w:pPr>
        <w:pStyle w:val="28"/>
        <w:numPr>
          <w:ilvl w:val="2"/>
          <w:numId w:val="0"/>
        </w:numPr>
      </w:pPr>
      <w:r>
        <w:rPr>
          <w:rFonts w:hint="eastAsia" w:ascii="黑体" w:hAnsi="黑体" w:eastAsia="黑体" w:cs="黑体"/>
        </w:rPr>
        <w:t xml:space="preserve">7.2 </w:t>
      </w:r>
      <w:r>
        <w:rPr>
          <w:rFonts w:hint="eastAsia"/>
        </w:rPr>
        <w:t xml:space="preserve"> 标识的</w:t>
      </w:r>
      <w:r>
        <w:t>内容准确、清晰、显著，所有文字使用规范的中文；任何标签或标识中的说明或</w:t>
      </w:r>
      <w:r>
        <w:rPr>
          <w:rFonts w:hint="eastAsia"/>
        </w:rPr>
        <w:t>表述</w:t>
      </w:r>
      <w:r>
        <w:t>方式</w:t>
      </w:r>
      <w:r>
        <w:rPr>
          <w:rFonts w:hint="eastAsia"/>
        </w:rPr>
        <w:t>均</w:t>
      </w:r>
      <w:r>
        <w:t>不应有虚假、误导</w:t>
      </w:r>
      <w:r>
        <w:rPr>
          <w:rFonts w:hint="eastAsia"/>
        </w:rPr>
        <w:t>或</w:t>
      </w:r>
      <w:r>
        <w:t>欺骗，或可能对其任何方面的</w:t>
      </w:r>
      <w:r>
        <w:rPr>
          <w:rFonts w:hint="eastAsia"/>
        </w:rPr>
        <w:t>特性</w:t>
      </w:r>
      <w:r>
        <w:t>造成错误印象；任何标签或标识中的文字、图示或其他方式的说明或表述不</w:t>
      </w:r>
      <w:r>
        <w:rPr>
          <w:rFonts w:hint="eastAsia"/>
        </w:rPr>
        <w:t>应</w:t>
      </w:r>
      <w:r>
        <w:t>直接或间接提及或暗示任何可能与该产品造成混淆的其他产品</w:t>
      </w:r>
      <w:r>
        <w:rPr>
          <w:rFonts w:hint="eastAsia"/>
        </w:rPr>
        <w:t>。</w:t>
      </w:r>
    </w:p>
    <w:p>
      <w:pPr>
        <w:pStyle w:val="28"/>
        <w:numPr>
          <w:ilvl w:val="2"/>
          <w:numId w:val="0"/>
        </w:numPr>
      </w:pPr>
      <w:r>
        <w:rPr>
          <w:rFonts w:hint="eastAsia" w:ascii="黑体" w:hAnsi="黑体" w:eastAsia="黑体" w:cs="黑体"/>
        </w:rPr>
        <w:t xml:space="preserve">7.3 </w:t>
      </w:r>
      <w:r>
        <w:rPr>
          <w:rFonts w:hint="eastAsia"/>
        </w:rPr>
        <w:t xml:space="preserve"> 标识内容应包括下列信息：</w:t>
      </w:r>
    </w:p>
    <w:p>
      <w:pPr>
        <w:pStyle w:val="28"/>
        <w:numPr>
          <w:ilvl w:val="0"/>
          <w:numId w:val="0"/>
        </w:numPr>
        <w:ind w:firstLine="420" w:firstLineChars="200"/>
      </w:pPr>
      <w:r>
        <w:rPr>
          <w:rFonts w:hint="eastAsia" w:ascii="黑体" w:hAnsi="黑体" w:eastAsia="黑体" w:cs="黑体"/>
        </w:rPr>
        <w:t>——</w:t>
      </w:r>
      <w:r>
        <w:rPr>
          <w:rFonts w:hint="eastAsia"/>
        </w:rPr>
        <w:t>生产者：依法登记注册的名称和地址（如果有）。</w:t>
      </w:r>
    </w:p>
    <w:p>
      <w:pPr>
        <w:pStyle w:val="28"/>
        <w:numPr>
          <w:ilvl w:val="0"/>
          <w:numId w:val="0"/>
        </w:numPr>
        <w:ind w:firstLine="420" w:firstLineChars="200"/>
      </w:pPr>
      <w:r>
        <w:rPr>
          <w:rFonts w:hint="eastAsia" w:ascii="黑体" w:hAnsi="黑体" w:eastAsia="黑体" w:cs="黑体"/>
        </w:rPr>
        <w:t>——</w:t>
      </w:r>
      <w:r>
        <w:rPr>
          <w:rFonts w:hint="eastAsia"/>
        </w:rPr>
        <w:t>产地：</w:t>
      </w:r>
      <w:r>
        <w:rPr>
          <w:rFonts w:hint="eastAsia"/>
          <w:lang w:eastAsia="zh-CN"/>
        </w:rPr>
        <w:t>大豆</w:t>
      </w:r>
      <w:r>
        <w:rPr>
          <w:rFonts w:hint="eastAsia"/>
        </w:rPr>
        <w:t>种植地的名称。</w:t>
      </w:r>
    </w:p>
    <w:p>
      <w:pPr>
        <w:pStyle w:val="28"/>
        <w:numPr>
          <w:ilvl w:val="0"/>
          <w:numId w:val="0"/>
        </w:numPr>
        <w:ind w:firstLine="420" w:firstLineChars="200"/>
      </w:pPr>
      <w:r>
        <w:rPr>
          <w:rFonts w:hint="eastAsia" w:ascii="黑体" w:hAnsi="黑体" w:eastAsia="黑体" w:cs="黑体"/>
        </w:rPr>
        <w:t>——</w:t>
      </w:r>
      <w:r>
        <w:rPr>
          <w:rFonts w:hint="eastAsia"/>
        </w:rPr>
        <w:t>产品特征：产品名称和品种名称，</w:t>
      </w:r>
      <w:r>
        <w:t>品名符合</w:t>
      </w:r>
      <w:r>
        <w:rPr>
          <w:rFonts w:hint="eastAsia"/>
        </w:rPr>
        <w:t>GB 8854 的</w:t>
      </w:r>
      <w:r>
        <w:t>规定。</w:t>
      </w:r>
    </w:p>
    <w:p>
      <w:pPr>
        <w:pStyle w:val="28"/>
        <w:numPr>
          <w:ilvl w:val="0"/>
          <w:numId w:val="0"/>
        </w:numPr>
        <w:ind w:firstLine="420" w:firstLineChars="200"/>
      </w:pPr>
      <w:r>
        <w:rPr>
          <w:rFonts w:hint="eastAsia" w:ascii="黑体" w:hAnsi="黑体" w:eastAsia="黑体" w:cs="黑体"/>
        </w:rPr>
        <w:t>——</w:t>
      </w:r>
      <w:r>
        <w:rPr>
          <w:rFonts w:hint="eastAsia"/>
        </w:rPr>
        <w:t>商品规格：净重（对于定量包装）、所执行的标准、等级等。</w:t>
      </w:r>
    </w:p>
    <w:p>
      <w:pPr>
        <w:pStyle w:val="28"/>
        <w:numPr>
          <w:ilvl w:val="0"/>
          <w:numId w:val="0"/>
        </w:numPr>
        <w:ind w:firstLine="420" w:firstLineChars="200"/>
      </w:pPr>
      <w:r>
        <w:rPr>
          <w:rFonts w:hint="eastAsia" w:ascii="黑体" w:hAnsi="黑体" w:eastAsia="黑体" w:cs="黑体"/>
        </w:rPr>
        <w:t>——</w:t>
      </w:r>
      <w:r>
        <w:rPr>
          <w:rFonts w:hint="eastAsia"/>
        </w:rPr>
        <w:t>生产日期</w:t>
      </w:r>
      <w:r>
        <w:t>：即</w:t>
      </w:r>
      <w:r>
        <w:rPr>
          <w:rFonts w:hint="eastAsia"/>
          <w:lang w:eastAsia="zh-CN"/>
        </w:rPr>
        <w:t>大豆</w:t>
      </w:r>
      <w:r>
        <w:t>采收</w:t>
      </w:r>
      <w:r>
        <w:rPr>
          <w:rFonts w:hint="eastAsia"/>
        </w:rPr>
        <w:t>日期</w:t>
      </w:r>
      <w:r>
        <w:t>，</w:t>
      </w:r>
      <w:r>
        <w:rPr>
          <w:rFonts w:hint="eastAsia"/>
        </w:rPr>
        <w:t>生产</w:t>
      </w:r>
      <w:r>
        <w:t>日期按年、月、日顺序标注</w:t>
      </w:r>
      <w:r>
        <w:rPr>
          <w:rFonts w:hint="eastAsia"/>
        </w:rPr>
        <w:t>。</w:t>
      </w:r>
    </w:p>
    <w:p>
      <w:pPr>
        <w:pStyle w:val="28"/>
        <w:numPr>
          <w:ilvl w:val="0"/>
          <w:numId w:val="0"/>
        </w:numPr>
        <w:ind w:firstLine="420" w:firstLineChars="200"/>
      </w:pPr>
      <w:r>
        <w:rPr>
          <w:rFonts w:hint="eastAsia" w:ascii="黑体" w:hAnsi="黑体" w:eastAsia="黑体" w:cs="黑体"/>
        </w:rPr>
        <w:t>——</w:t>
      </w:r>
      <w:r>
        <w:rPr>
          <w:rFonts w:hint="eastAsia"/>
        </w:rPr>
        <w:t>注册商标（如果有）。</w:t>
      </w:r>
    </w:p>
    <w:p/>
    <w:p/>
    <w:p>
      <w:pPr>
        <w:jc w:val="center"/>
        <w:rPr>
          <w:rFonts w:ascii="宋体" w:hAnsi="宋体" w:cs="宋体"/>
        </w:rPr>
      </w:pPr>
      <w:r>
        <w:t>_________________________________</w:t>
      </w:r>
    </w:p>
    <w:p/>
    <w:p/>
    <w:p/>
    <w:p/>
    <w:p/>
    <w:p/>
    <w:p/>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t>Q/YTZ 0</w:t>
    </w:r>
    <w:r>
      <w:rPr>
        <w:rFonts w:hint="eastAsia"/>
        <w:lang w:val="en-US" w:eastAsia="zh-CN"/>
      </w:rPr>
      <w:t>13</w:t>
    </w:r>
    <w:r>
      <w:t>.6—202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CC836"/>
    <w:multiLevelType w:val="multilevel"/>
    <w:tmpl w:val="424CC836"/>
    <w:lvl w:ilvl="0" w:tentative="0">
      <w:start w:val="1"/>
      <w:numFmt w:val="decimal"/>
      <w:pStyle w:val="26"/>
      <w:suff w:val="nothing"/>
      <w:lvlText w:val="%1　"/>
      <w:lvlJc w:val="left"/>
      <w:pPr>
        <w:ind w:left="0" w:firstLine="0"/>
      </w:pPr>
      <w:rPr>
        <w:rFonts w:hint="eastAsia" w:ascii="黑体" w:hAnsi="Times New Roman" w:eastAsia="黑体" w:cs="黑体"/>
        <w:b w:val="0"/>
        <w:sz w:val="21"/>
        <w:szCs w:val="21"/>
      </w:rPr>
    </w:lvl>
    <w:lvl w:ilvl="1" w:tentative="0">
      <w:start w:val="1"/>
      <w:numFmt w:val="decimal"/>
      <w:pStyle w:val="27"/>
      <w:suff w:val="nothing"/>
      <w:lvlText w:val="%1.%2　"/>
      <w:lvlJc w:val="left"/>
      <w:pPr>
        <w:ind w:left="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pStyle w:val="29"/>
      <w:suff w:val="nothing"/>
      <w:lvlText w:val="%1.%2.%3　"/>
      <w:lvlJc w:val="left"/>
      <w:pPr>
        <w:ind w:left="0" w:firstLine="0"/>
      </w:pPr>
      <w:rPr>
        <w:rFonts w:hint="eastAsia" w:ascii="黑体" w:hAnsi="Times New Roman" w:eastAsia="黑体" w:cs="黑体"/>
        <w:b w:val="0"/>
        <w:sz w:val="21"/>
      </w:rPr>
    </w:lvl>
    <w:lvl w:ilvl="3" w:tentative="0">
      <w:start w:val="1"/>
      <w:numFmt w:val="decimal"/>
      <w:pStyle w:val="31"/>
      <w:suff w:val="nothing"/>
      <w:lvlText w:val="%1.%2.%3.%4　"/>
      <w:lvlJc w:val="left"/>
      <w:pPr>
        <w:ind w:left="0" w:firstLine="0"/>
      </w:pPr>
      <w:rPr>
        <w:rFonts w:hint="eastAsia" w:ascii="黑体" w:hAnsi="Times New Roman" w:eastAsia="黑体" w:cs="黑体"/>
        <w:b w:val="0"/>
        <w:sz w:val="21"/>
      </w:rPr>
    </w:lvl>
    <w:lvl w:ilvl="4" w:tentative="0">
      <w:start w:val="1"/>
      <w:numFmt w:val="decimal"/>
      <w:suff w:val="nothing"/>
      <w:lvlText w:val="%1.%2.%3.%4.%5　"/>
      <w:lvlJc w:val="left"/>
      <w:pPr>
        <w:ind w:left="0" w:firstLine="0"/>
      </w:pPr>
      <w:rPr>
        <w:rFonts w:hint="eastAsia" w:ascii="黑体" w:hAnsi="Times New Roman" w:eastAsia="黑体" w:cs="黑体"/>
        <w:b w:val="0"/>
        <w:sz w:val="21"/>
      </w:rPr>
    </w:lvl>
    <w:lvl w:ilvl="5" w:tentative="0">
      <w:start w:val="1"/>
      <w:numFmt w:val="decimal"/>
      <w:suff w:val="nothing"/>
      <w:lvlText w:val="%1.%2.%3.%4.%5.%6　"/>
      <w:lvlJc w:val="left"/>
      <w:pPr>
        <w:ind w:left="0" w:firstLine="0"/>
      </w:pPr>
      <w:rPr>
        <w:rFonts w:hint="eastAsia" w:ascii="黑体" w:hAnsi="Times New Roman" w:eastAsia="黑体" w:cs="黑体"/>
        <w:b w:val="0"/>
        <w:sz w:val="21"/>
      </w:rPr>
    </w:lvl>
    <w:lvl w:ilvl="6" w:tentative="0">
      <w:start w:val="1"/>
      <w:numFmt w:val="decimal"/>
      <w:suff w:val="nothing"/>
      <w:lvlText w:val="%1%2.%3.%4.%5.%6.%7　"/>
      <w:lvlJc w:val="left"/>
      <w:pPr>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ascii="黑体" w:hAnsi="黑体" w:eastAsia="黑体"/>
        <w:sz w:val="21"/>
        <w:szCs w:val="21"/>
      </w:rPr>
    </w:lvl>
    <w:lvl w:ilvl="2" w:tentative="0">
      <w:start w:val="1"/>
      <w:numFmt w:val="decimal"/>
      <w:lvlText w:val="%1.%2.%3"/>
      <w:lvlJc w:val="left"/>
      <w:pPr>
        <w:tabs>
          <w:tab w:val="left" w:pos="993"/>
        </w:tabs>
        <w:ind w:left="993" w:hanging="567"/>
      </w:pPr>
      <w:rPr>
        <w:rFonts w:hint="eastAsia"/>
      </w:rPr>
    </w:lvl>
    <w:lvl w:ilvl="3" w:tentative="0">
      <w:start w:val="1"/>
      <w:numFmt w:val="decimal"/>
      <w:pStyle w:val="30"/>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D3BF0"/>
    <w:rsid w:val="440D3BF0"/>
    <w:rsid w:val="5378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其他标准标志"/>
    <w:basedOn w:val="7"/>
    <w:qFormat/>
    <w:uiPriority w:val="0"/>
    <w:pPr>
      <w:framePr w:w="6101" w:vAnchor="page" w:hAnchor="page" w:x="4673" w:y="942"/>
    </w:pPr>
    <w:rPr>
      <w:w w:val="130"/>
    </w:rPr>
  </w:style>
  <w:style w:type="paragraph" w:customStyle="1" w:styleId="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
    <w:name w:val="封面标准英文名称"/>
    <w:basedOn w:val="11"/>
    <w:qFormat/>
    <w:uiPriority w:val="0"/>
    <w:pPr>
      <w:spacing w:before="370" w:line="400" w:lineRule="exact"/>
    </w:pPr>
    <w:rPr>
      <w:rFonts w:ascii="Times New Roman"/>
      <w:sz w:val="28"/>
      <w:szCs w:val="28"/>
    </w:rPr>
  </w:style>
  <w:style w:type="paragraph" w:customStyle="1" w:styleId="13">
    <w:name w:val="封面标准文稿类别"/>
    <w:basedOn w:val="14"/>
    <w:qFormat/>
    <w:uiPriority w:val="0"/>
    <w:pPr>
      <w:spacing w:after="160" w:line="240" w:lineRule="auto"/>
    </w:pPr>
    <w:rPr>
      <w:sz w:val="24"/>
    </w:rPr>
  </w:style>
  <w:style w:type="paragraph" w:customStyle="1" w:styleId="14">
    <w:name w:val="封面一致性程度标识"/>
    <w:basedOn w:val="12"/>
    <w:qFormat/>
    <w:uiPriority w:val="0"/>
    <w:pPr>
      <w:spacing w:before="440"/>
    </w:pPr>
    <w:rPr>
      <w:rFonts w:ascii="宋体" w:eastAsia="宋体"/>
    </w:rPr>
  </w:style>
  <w:style w:type="paragraph" w:customStyle="1" w:styleId="15">
    <w:name w:val="其他发布日期"/>
    <w:basedOn w:val="16"/>
    <w:qFormat/>
    <w:uiPriority w:val="0"/>
    <w:pPr>
      <w:framePr w:vAnchor="page" w:x="1419"/>
    </w:pPr>
  </w:style>
  <w:style w:type="paragraph" w:customStyle="1" w:styleId="1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7">
    <w:name w:val="其他实施日期"/>
    <w:basedOn w:val="18"/>
    <w:qFormat/>
    <w:uiPriority w:val="0"/>
  </w:style>
  <w:style w:type="paragraph" w:customStyle="1" w:styleId="18">
    <w:name w:val="实施日期"/>
    <w:basedOn w:val="16"/>
    <w:qFormat/>
    <w:uiPriority w:val="0"/>
    <w:pPr>
      <w:framePr w:vAnchor="page"/>
      <w:jc w:val="right"/>
    </w:pPr>
  </w:style>
  <w:style w:type="paragraph" w:customStyle="1" w:styleId="19">
    <w:name w:val="其他发布部门"/>
    <w:basedOn w:val="20"/>
    <w:qFormat/>
    <w:uiPriority w:val="0"/>
    <w:pPr>
      <w:framePr w:y="15310"/>
      <w:spacing w:line="0" w:lineRule="atLeast"/>
    </w:pPr>
    <w:rPr>
      <w:rFonts w:ascii="黑体" w:eastAsia="黑体"/>
      <w:b w:val="0"/>
    </w:rPr>
  </w:style>
  <w:style w:type="paragraph" w:customStyle="1" w:styleId="20">
    <w:name w:val="发布部门"/>
    <w:next w:val="2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发布"/>
    <w:basedOn w:val="5"/>
    <w:qFormat/>
    <w:uiPriority w:val="0"/>
    <w:rPr>
      <w:rFonts w:ascii="黑体" w:eastAsia="黑体"/>
      <w:spacing w:val="85"/>
      <w:w w:val="100"/>
      <w:position w:val="3"/>
      <w:sz w:val="28"/>
      <w:szCs w:val="28"/>
    </w:rPr>
  </w:style>
  <w:style w:type="paragraph" w:customStyle="1" w:styleId="2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
    <w:name w:val="前言、引言标题"/>
    <w:next w:val="2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章标题"/>
    <w:basedOn w:val="1"/>
    <w:next w:val="1"/>
    <w:qFormat/>
    <w:uiPriority w:val="0"/>
    <w:pPr>
      <w:widowControl/>
      <w:numPr>
        <w:ilvl w:val="0"/>
        <w:numId w:val="1"/>
      </w:numPr>
      <w:spacing w:beforeLines="100" w:afterLines="100"/>
      <w:outlineLvl w:val="1"/>
    </w:pPr>
    <w:rPr>
      <w:rFonts w:hint="eastAsia" w:ascii="黑体" w:eastAsia="黑体"/>
      <w:kern w:val="0"/>
      <w:szCs w:val="20"/>
    </w:rPr>
  </w:style>
  <w:style w:type="paragraph" w:customStyle="1" w:styleId="27">
    <w:name w:val="一级条标题"/>
    <w:basedOn w:val="1"/>
    <w:next w:val="1"/>
    <w:qFormat/>
    <w:uiPriority w:val="0"/>
    <w:pPr>
      <w:widowControl/>
      <w:numPr>
        <w:ilvl w:val="1"/>
        <w:numId w:val="1"/>
      </w:numPr>
      <w:spacing w:beforeLines="50" w:afterLines="50"/>
      <w:jc w:val="left"/>
      <w:outlineLvl w:val="2"/>
    </w:pPr>
    <w:rPr>
      <w:rFonts w:hint="eastAsia" w:ascii="黑体" w:eastAsia="黑体"/>
      <w:kern w:val="0"/>
      <w:szCs w:val="21"/>
    </w:rPr>
  </w:style>
  <w:style w:type="paragraph" w:customStyle="1" w:styleId="28">
    <w:name w:val="二级无"/>
    <w:basedOn w:val="29"/>
    <w:qFormat/>
    <w:uiPriority w:val="0"/>
    <w:pPr>
      <w:spacing w:beforeLines="0" w:afterLines="0"/>
    </w:pPr>
    <w:rPr>
      <w:rFonts w:hint="default" w:ascii="宋体" w:eastAsia="宋体"/>
    </w:rPr>
  </w:style>
  <w:style w:type="paragraph" w:customStyle="1" w:styleId="29">
    <w:name w:val="二级条标题"/>
    <w:basedOn w:val="27"/>
    <w:next w:val="1"/>
    <w:qFormat/>
    <w:uiPriority w:val="0"/>
    <w:pPr>
      <w:numPr>
        <w:ilvl w:val="2"/>
      </w:numPr>
      <w:outlineLvl w:val="3"/>
    </w:pPr>
  </w:style>
  <w:style w:type="paragraph" w:customStyle="1" w:styleId="30">
    <w:name w:val="三级无"/>
    <w:basedOn w:val="31"/>
    <w:qFormat/>
    <w:uiPriority w:val="0"/>
    <w:pPr>
      <w:numPr>
        <w:numId w:val="2"/>
      </w:numPr>
      <w:tabs>
        <w:tab w:val="left" w:pos="0"/>
        <w:tab w:val="left" w:pos="2291"/>
      </w:tabs>
      <w:spacing w:beforeLines="0" w:afterLines="0"/>
    </w:pPr>
    <w:rPr>
      <w:rFonts w:hint="default" w:ascii="宋体" w:eastAsia="宋体"/>
    </w:rPr>
  </w:style>
  <w:style w:type="paragraph" w:customStyle="1" w:styleId="31">
    <w:name w:val="三级条标题"/>
    <w:basedOn w:val="29"/>
    <w:next w:val="1"/>
    <w:qFormat/>
    <w:uiPriority w:val="0"/>
    <w:pPr>
      <w:numPr>
        <w:ilvl w:val="3"/>
      </w:numPr>
      <w:outlineLvl w:val="4"/>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2021-12-29T07:45:00Z</dcterms:created>
  <dc:creator>仲夏夜之梦</dc:creator>
  <cp:lastModifiedBy>仲夏夜之梦</cp:lastModifiedBy>
  <dcterms:modified xsi:type="dcterms:W3CDTF">2021-12-29T08:03:37Z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BA4CA01EE0074527AA17E9537482525C</vt:lpwstr>
  </property>
</Properties>
</file>