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9"/>
        <w:framePr w:w="9411" w:x="1391"/>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0"/>
        <w:rPr>
          <w:rFonts w:hint="eastAsia" w:hAnsi="黑体" w:eastAsia="黑体"/>
          <w:lang w:val="en-US" w:eastAsia="zh-CN"/>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24</w:t>
      </w:r>
      <w:r>
        <w:rPr>
          <w:rFonts w:hAnsi="黑体"/>
        </w:rPr>
        <w:t>.4</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Ansi="黑体"/>
        </w:rPr>
        <w:fldChar w:fldCharType="end"/>
      </w:r>
      <w:bookmarkEnd w:id="4"/>
      <w:r>
        <w:rPr>
          <w:rFonts w:hint="eastAsia" w:hAnsi="黑体"/>
          <w:lang w:val="en-US" w:eastAsia="zh-CN"/>
        </w:rPr>
        <w:t>2</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矩形 1"/>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idU2ZL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10"/>
        <w:rPr>
          <w:rFonts w:hAnsi="黑体"/>
        </w:rPr>
      </w:pPr>
    </w:p>
    <w:p>
      <w:pPr>
        <w:pStyle w:val="10"/>
        <w:rPr>
          <w:rFonts w:hAnsi="黑体"/>
        </w:rPr>
      </w:pPr>
    </w:p>
    <w:p>
      <w:pPr>
        <w:pStyle w:val="12"/>
        <w:rPr>
          <w:rFonts w:hint="eastAsia" w:eastAsia="黑体"/>
          <w:lang w:eastAsia="zh-CN"/>
        </w:rPr>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大豆</w:t>
      </w:r>
    </w:p>
    <w:p>
      <w:pPr>
        <w:pStyle w:val="12"/>
      </w:pPr>
      <w:r>
        <w:rPr>
          <w:rFonts w:hint="eastAsia"/>
        </w:rPr>
        <w:t>第4部分：产品分级</w:t>
      </w:r>
      <w:r>
        <w:fldChar w:fldCharType="end"/>
      </w:r>
      <w:bookmarkEnd w:id="6"/>
    </w:p>
    <w:p>
      <w:pPr>
        <w:pStyle w:val="13"/>
      </w:pPr>
      <w:r>
        <w:rPr>
          <w:rFonts w:hint="eastAsia"/>
        </w:rPr>
        <w:t xml:space="preserve">                                                                                                     </w:t>
      </w:r>
    </w:p>
    <w:p>
      <w:pPr>
        <w:pStyle w:val="14"/>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7"/>
      <w:r>
        <w:rPr>
          <w:rFonts w:hint="eastAsia" w:ascii="黑体"/>
          <w:lang w:val="en-US" w:eastAsia="zh-CN"/>
        </w:rPr>
        <w:t>2</w:t>
      </w:r>
      <w:r>
        <w:t xml:space="preserve"> </w:t>
      </w:r>
      <w:r>
        <w:rPr>
          <w:rFonts w:ascii="黑体"/>
        </w:rPr>
        <w:t>-</w:t>
      </w:r>
      <w:r>
        <w:t xml:space="preserve"> </w:t>
      </w:r>
      <w:r>
        <w:rPr>
          <w:rFonts w:hint="eastAsia" w:ascii="黑体"/>
          <w:lang w:val="en-US" w:eastAsia="zh-CN"/>
        </w:rPr>
        <w:t>1</w:t>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hjKZj0AQAA5A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nZ8DlnDiw1/Pbz&#10;j1+fvt79/ELr7fdvbJ5FGgLWFHvt1vG4w7COmfG+jTb/iQvbF2EPJ2HVPjFBh5czYvecNBf3vurh&#10;YoiYXitvWTYabrTLnKGG3RtMlIxC70PysXFsaPjLi/kFwQENYEuNJ9MGIoGuK3fRGy1vtDH5BsZu&#10;c20i20EegvJlSoT7V1hOsgLsx7jiGsejVyBfOcnSIZA8jl4FzyVYJTkzih5RtggQ6gTanBNJqY2j&#10;CrKqo47Z2nh5oGZsQ9RdT0rMSp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LhjKZj0AQAA5AMAAA4AAAAAAAAAAQAgAAAAJQEAAGRycy9lMm9Eb2MueG1sUEsF&#10;BgAAAAAGAAYAWQEAAIsFAAAAAA==&#10;">
                <v:fill on="f" focussize="0,0"/>
                <v:stroke color="#000000" joinstyle="round"/>
                <v:imagedata o:title=""/>
                <o:lock v:ext="edit" aspectratio="f"/>
                <w10:anchorlock/>
              </v:line>
            </w:pict>
          </mc:Fallback>
        </mc:AlternateContent>
      </w:r>
    </w:p>
    <w:p>
      <w:pPr>
        <w:pStyle w:val="16"/>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8"/>
      <w:r>
        <w:rPr>
          <w:rFonts w:hint="eastAsia" w:ascii="黑体"/>
          <w:lang w:val="en-US" w:eastAsia="zh-CN"/>
        </w:rPr>
        <w:t>2</w:t>
      </w:r>
      <w:bookmarkStart w:id="11" w:name="_GoBack"/>
      <w:bookmarkEnd w:id="11"/>
      <w:r>
        <w:t xml:space="preserve"> </w:t>
      </w:r>
      <w:r>
        <w:rPr>
          <w:rFonts w:ascii="黑体"/>
        </w:rPr>
        <w:t>-</w:t>
      </w:r>
      <w:r>
        <w:t xml:space="preserve"> </w:t>
      </w:r>
      <w:r>
        <w:rPr>
          <w:rFonts w:hint="eastAsia" w:ascii="黑体"/>
          <w:lang w:val="en-US" w:eastAsia="zh-CN"/>
        </w:rPr>
        <w:t>1</w:t>
      </w:r>
      <w:r>
        <w:t xml:space="preserve"> </w:t>
      </w:r>
      <w:r>
        <w:rPr>
          <w:rFonts w:ascii="黑体"/>
        </w:rPr>
        <w:t>-</w:t>
      </w:r>
      <w:r>
        <w:rPr>
          <w:rFonts w:hint="eastAsia" w:ascii="黑体"/>
          <w:lang w:val="en-US" w:eastAsia="zh-CN"/>
        </w:rPr>
        <w:t xml:space="preserve"> 15</w:t>
      </w:r>
      <w:r>
        <w:rPr>
          <w:rFonts w:hint="eastAsia"/>
        </w:rPr>
        <w:t>实施</w:t>
      </w:r>
    </w:p>
    <w:p/>
    <w:p/>
    <w:p>
      <w:r>
        <mc:AlternateContent>
          <mc:Choice Requires="wps">
            <w:drawing>
              <wp:anchor distT="0" distB="0" distL="114300" distR="114300" simplePos="0" relativeHeight="251663360" behindDoc="0" locked="1" layoutInCell="1" allowOverlap="1">
                <wp:simplePos x="0" y="0"/>
                <wp:positionH relativeFrom="column">
                  <wp:posOffset>-153035</wp:posOffset>
                </wp:positionH>
                <wp:positionV relativeFrom="page">
                  <wp:posOffset>2692400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5pt;margin-top:212pt;height:0pt;width:481.9pt;mso-position-vertical-relative:page;z-index:251663360;mso-width-relative:page;mso-height-relative:page;" filled="f" stroked="t" coordsize="21600,21600" o:gfxdata="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w03L2AAAAAsBAAAPAAAAAAAAAAEAIAAAACIAAABkcnMvZG93bnJldi54bWxQSwEC&#10;FAAUAAAACACHTuJAjnRlQfQBAADkAwAADgAAAAAAAAABACAAAAAnAQAAZHJzL2Uyb0RvYy54bWxQ&#10;SwUGAAAAAAYABgBZAQAAjQUAAAAA&#10;">
                <v:fill on="f" focussize="0,0"/>
                <v:stroke color="#000000" joinstyle="round"/>
                <v:imagedata o:title=""/>
                <o:lock v:ext="edit" aspectratio="f"/>
                <w10:anchorlock/>
              </v:line>
            </w:pict>
          </mc:Fallback>
        </mc:AlternateContent>
      </w:r>
    </w:p>
    <w:p/>
    <w:p/>
    <w:p/>
    <w:p/>
    <w:p/>
    <w:p/>
    <w:p/>
    <w:p/>
    <w:p>
      <w:pPr>
        <w:pStyle w:val="18"/>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1"/>
          <w:rFonts w:hint="eastAsia"/>
        </w:rPr>
        <w:t>发布</w: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JB4l/XAAAACQEAAA8AAAAAAAAAAQAgAAAAIgAAAGRycy9kb3ducmV2LnhtbFBLAQIU&#10;ABQAAAAIAIdO4kCfHwEs9AEAAOQDAAAOAAAAAAAAAAEAIAAAACYBAABkcnMvZTJvRG9jLnhtbFBL&#10;BQYAAAAABgAGAFkBAACMBQAAAAA=&#10;">
                <v:fill on="f" focussize="0,0"/>
                <v:stroke color="#000000" joinstyle="round"/>
                <v:imagedata o:title=""/>
                <o:lock v:ext="edit" aspectratio="f"/>
              </v:line>
            </w:pict>
          </mc:Fallback>
        </mc:AlternateContent>
      </w:r>
    </w:p>
    <w:p/>
    <w:p>
      <w:pPr>
        <w:pStyle w:val="23"/>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3"/>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0"/>
        <w:rPr>
          <w:rFonts w:hint="eastAsia"/>
        </w:rPr>
      </w:pPr>
      <w:r>
        <w:rPr>
          <w:rFonts w:hint="eastAsia"/>
        </w:rPr>
        <w:t>本文件按照GB/T 1.1-2020《标准化工作导则 第1部分：标准化文件的结构和起草规则》给出的规则起草。</w:t>
      </w:r>
    </w:p>
    <w:p>
      <w:pPr>
        <w:pStyle w:val="20"/>
        <w:rPr>
          <w:rFonts w:hint="eastAsia"/>
        </w:rPr>
      </w:pPr>
      <w:r>
        <w:rPr>
          <w:rFonts w:hint="eastAsia"/>
        </w:rPr>
        <w:t>本文件起草单位: 云南天质弘耕科技有限公司。</w:t>
      </w:r>
    </w:p>
    <w:p>
      <w:pPr>
        <w:pStyle w:val="20"/>
        <w:rPr>
          <w:rFonts w:hint="eastAsia"/>
        </w:rPr>
      </w:pPr>
      <w:r>
        <w:rPr>
          <w:rFonts w:hint="eastAsia"/>
        </w:rPr>
        <w:t>本文件主要起草人</w:t>
      </w:r>
      <w:r>
        <w:rPr>
          <w:rFonts w:hint="eastAsia"/>
          <w:lang w:eastAsia="zh-CN"/>
        </w:rPr>
        <w:t>：</w:t>
      </w:r>
      <w:r>
        <w:rPr>
          <w:rFonts w:hint="eastAsia"/>
        </w:rPr>
        <w:t>李美琼、李佩龙、杨发宝。</w:t>
      </w:r>
    </w:p>
    <w:p/>
    <w:p/>
    <w:p/>
    <w:p/>
    <w:p/>
    <w:p/>
    <w:p/>
    <w:p/>
    <w:p/>
    <w:p/>
    <w:p/>
    <w:p/>
    <w:p/>
    <w:p/>
    <w:p/>
    <w:p/>
    <w:p/>
    <w:p/>
    <w:p/>
    <w:p/>
    <w:p/>
    <w:p/>
    <w:p/>
    <w:p/>
    <w:p/>
    <w:p/>
    <w:p/>
    <w:p/>
    <w:p/>
    <w:p/>
    <w:p/>
    <w:p/>
    <w:p/>
    <w:p>
      <w:pPr>
        <w:pStyle w:val="24"/>
        <w:spacing w:before="0" w:after="0" w:line="240" w:lineRule="auto"/>
        <w:rPr>
          <w:rFonts w:hint="eastAsia" w:hAnsi="黑体" w:cs="黑体"/>
          <w:color w:val="000000"/>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4"/>
        <w:spacing w:before="0" w:after="0" w:line="240" w:lineRule="auto"/>
        <w:rPr>
          <w:rFonts w:hint="eastAsia" w:hAnsi="黑体" w:cs="黑体"/>
        </w:rPr>
      </w:pPr>
      <w:r>
        <w:rPr>
          <w:rFonts w:hint="eastAsia" w:hAnsi="黑体" w:cs="黑体"/>
          <w:color w:val="000000"/>
          <w:lang w:eastAsia="zh-CN"/>
        </w:rPr>
        <w:t>大豆</w:t>
      </w:r>
      <w:r>
        <w:rPr>
          <w:rFonts w:hint="eastAsia" w:hAnsi="黑体" w:cs="黑体"/>
          <w:color w:val="0000FF"/>
        </w:rPr>
        <w:t xml:space="preserve">          </w:t>
      </w:r>
      <w:r>
        <w:rPr>
          <w:rFonts w:hint="eastAsia" w:hAnsi="黑体" w:cs="黑体"/>
        </w:rPr>
        <w:t xml:space="preserve">        </w:t>
      </w:r>
      <w:r>
        <w:rPr>
          <w:rFonts w:hint="eastAsia" w:hAnsi="黑体" w:cs="黑体"/>
          <w:lang w:val="en-US" w:eastAsia="zh-CN"/>
        </w:rPr>
        <w:t xml:space="preserve">  </w:t>
      </w:r>
      <w:r>
        <w:rPr>
          <w:rFonts w:hint="eastAsia" w:hAnsi="黑体" w:cs="黑体"/>
        </w:rPr>
        <w:t xml:space="preserve">                                   第4部分：产品分级</w:t>
      </w:r>
    </w:p>
    <w:p>
      <w:pPr>
        <w:pStyle w:val="25"/>
        <w:rPr>
          <w:rFonts w:hint="eastAsia"/>
        </w:rPr>
      </w:pPr>
      <w:r>
        <w:rPr>
          <w:rFonts w:hint="eastAsia"/>
        </w:rPr>
        <w:t>范围</w:t>
      </w:r>
    </w:p>
    <w:p>
      <w:pPr>
        <w:pStyle w:val="20"/>
        <w:rPr>
          <w:rFonts w:hint="eastAsia"/>
          <w:color w:val="000000"/>
          <w:szCs w:val="22"/>
          <w:lang w:eastAsia="zh-CN"/>
        </w:rPr>
      </w:pPr>
      <w:r>
        <w:rPr>
          <w:rFonts w:hint="eastAsia"/>
          <w:color w:val="000000"/>
          <w:szCs w:val="22"/>
        </w:rPr>
        <w:t>本文件规定了</w:t>
      </w:r>
      <w:r>
        <w:rPr>
          <w:rFonts w:hint="eastAsia"/>
          <w:color w:val="000000"/>
          <w:szCs w:val="22"/>
          <w:lang w:eastAsia="zh-CN"/>
        </w:rPr>
        <w:t>大豆</w:t>
      </w:r>
      <w:r>
        <w:rPr>
          <w:rFonts w:hint="eastAsia"/>
          <w:color w:val="000000"/>
          <w:szCs w:val="22"/>
        </w:rPr>
        <w:t>的相关术语和定义、等级规格要求与检验方法。</w:t>
      </w:r>
    </w:p>
    <w:p>
      <w:pPr>
        <w:pStyle w:val="20"/>
        <w:rPr>
          <w:rFonts w:hint="eastAsia"/>
        </w:rPr>
      </w:pPr>
      <w:r>
        <w:rPr>
          <w:rFonts w:hint="eastAsia"/>
          <w:color w:val="000000"/>
          <w:szCs w:val="22"/>
        </w:rPr>
        <w:t>本文件适用于</w:t>
      </w:r>
      <w:r>
        <w:rPr>
          <w:rFonts w:hint="eastAsia"/>
          <w:color w:val="000000"/>
          <w:szCs w:val="22"/>
          <w:lang w:eastAsia="zh-CN"/>
        </w:rPr>
        <w:t>大豆产品分级。</w:t>
      </w:r>
    </w:p>
    <w:p>
      <w:pPr>
        <w:pStyle w:val="25"/>
        <w:rPr>
          <w:rFonts w:hint="eastAsia"/>
        </w:rPr>
      </w:pPr>
      <w:r>
        <w:rPr>
          <w:rFonts w:hint="eastAsia"/>
        </w:rPr>
        <w:t>规范性引用文件</w:t>
      </w:r>
    </w:p>
    <w:p>
      <w:pPr>
        <w:pStyle w:val="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pPr>
      <w:r>
        <w:rPr>
          <w:rFonts w:hint="eastAsia"/>
          <w:szCs w:val="22"/>
        </w:rPr>
        <w:t>GB/T 8855  新鲜水果和蔬菜的取样方法</w:t>
      </w:r>
    </w:p>
    <w:p>
      <w:pPr>
        <w:pStyle w:val="25"/>
        <w:rPr>
          <w:rFonts w:hint="eastAsia"/>
        </w:rPr>
      </w:pPr>
      <w:r>
        <w:rPr>
          <w:rFonts w:hint="eastAsia"/>
        </w:rPr>
        <w:t>术语和定义</w:t>
      </w:r>
    </w:p>
    <w:p>
      <w:pPr>
        <w:pStyle w:val="20"/>
        <w:rPr>
          <w:rFonts w:hint="eastAsia"/>
        </w:rPr>
      </w:pPr>
      <w:r>
        <w:rPr>
          <w:rFonts w:hint="eastAsia"/>
        </w:rPr>
        <w:t>下列术语和定义适用于本文件。</w:t>
      </w:r>
    </w:p>
    <w:p>
      <w:pPr>
        <w:pStyle w:val="26"/>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容许度</w:t>
      </w:r>
    </w:p>
    <w:p>
      <w:pPr>
        <w:numPr>
          <w:ilvl w:val="0"/>
          <w:numId w:val="0"/>
        </w:numPr>
        <w:ind w:leftChars="0" w:firstLine="420" w:firstLineChars="200"/>
        <w:rPr>
          <w:rFonts w:hint="default" w:ascii="宋体" w:hAnsi="宋体" w:eastAsia="宋体" w:cs="宋体"/>
          <w:lang w:val="en-US" w:eastAsia="zh-CN"/>
        </w:rPr>
      </w:pPr>
      <w:r>
        <w:rPr>
          <w:rFonts w:hint="eastAsia" w:ascii="宋体" w:hAnsi="宋体" w:eastAsia="宋体" w:cs="宋体"/>
          <w:lang w:val="en-US" w:eastAsia="zh-CN"/>
        </w:rPr>
        <w:t>容许度是指每个包装中产品不符合质量和大小要求的量。</w:t>
      </w:r>
    </w:p>
    <w:p>
      <w:pPr>
        <w:pStyle w:val="25"/>
        <w:numPr>
          <w:ilvl w:val="0"/>
          <w:numId w:val="0"/>
        </w:numPr>
        <w:ind w:leftChars="0"/>
        <w:rPr>
          <w:rFonts w:hint="eastAsia"/>
          <w:szCs w:val="22"/>
          <w:lang w:val="en-US" w:eastAsia="zh-CN"/>
        </w:rPr>
      </w:pPr>
      <w:r>
        <w:rPr>
          <w:rFonts w:hint="eastAsia"/>
          <w:szCs w:val="22"/>
          <w:lang w:val="en-US" w:eastAsia="zh-CN"/>
        </w:rPr>
        <w:t>4  要求</w:t>
      </w:r>
    </w:p>
    <w:p>
      <w:pPr>
        <w:pStyle w:val="27"/>
        <w:numPr>
          <w:ilvl w:val="2"/>
          <w:numId w:val="0"/>
        </w:numPr>
        <w:spacing w:before="156" w:after="156"/>
        <w:ind w:leftChars="0"/>
        <w:rPr>
          <w:rFonts w:hint="default"/>
          <w:lang w:val="en-US" w:eastAsia="zh-CN"/>
        </w:rPr>
      </w:pPr>
      <w:r>
        <w:rPr>
          <w:rFonts w:hint="eastAsia"/>
          <w:lang w:val="en-US" w:eastAsia="zh-CN"/>
        </w:rPr>
        <w:t>4.1  等级</w:t>
      </w:r>
    </w:p>
    <w:p>
      <w:pPr>
        <w:pStyle w:val="27"/>
        <w:numPr>
          <w:ilvl w:val="2"/>
          <w:numId w:val="0"/>
        </w:numPr>
        <w:spacing w:before="156" w:after="156"/>
        <w:ind w:leftChars="0"/>
        <w:rPr>
          <w:rFonts w:hint="eastAsia"/>
        </w:rPr>
      </w:pPr>
      <w:r>
        <w:rPr>
          <w:rFonts w:hint="eastAsia"/>
          <w:lang w:val="en-US" w:eastAsia="zh-CN"/>
        </w:rPr>
        <w:t xml:space="preserve">4.1.1  </w:t>
      </w:r>
      <w:r>
        <w:rPr>
          <w:rFonts w:hint="eastAsia"/>
        </w:rPr>
        <w:t>基本要求</w:t>
      </w:r>
    </w:p>
    <w:p>
      <w:pPr>
        <w:pStyle w:val="27"/>
        <w:numPr>
          <w:ilvl w:val="0"/>
          <w:numId w:val="0"/>
        </w:numPr>
        <w:spacing w:before="156" w:after="156"/>
        <w:ind w:firstLine="420" w:firstLineChars="200"/>
        <w:rPr>
          <w:rFonts w:hint="eastAsia" w:ascii="宋体" w:hAnsi="宋体" w:eastAsia="宋体"/>
        </w:rPr>
      </w:pPr>
      <w:r>
        <w:rPr>
          <w:rFonts w:hint="eastAsia" w:ascii="宋体" w:hAnsi="宋体" w:eastAsia="宋体"/>
        </w:rPr>
        <w:t>根据对每个等级的规定和允许误差，</w:t>
      </w:r>
      <w:r>
        <w:rPr>
          <w:rFonts w:hint="eastAsia" w:ascii="宋体" w:hAnsi="宋体" w:eastAsia="宋体"/>
          <w:lang w:eastAsia="zh-CN"/>
        </w:rPr>
        <w:t>鲜食苹果</w:t>
      </w:r>
      <w:r>
        <w:rPr>
          <w:rFonts w:hint="eastAsia" w:ascii="宋体" w:hAnsi="宋体" w:eastAsia="宋体"/>
        </w:rPr>
        <w:t>应符合下列基本条件：</w:t>
      </w:r>
    </w:p>
    <w:p>
      <w:pPr>
        <w:numPr>
          <w:ilvl w:val="0"/>
          <w:numId w:val="0"/>
        </w:numPr>
        <w:ind w:leftChars="0" w:firstLine="420" w:firstLineChars="200"/>
        <w:rPr>
          <w:rFonts w:hint="eastAsia" w:ascii="宋体" w:hAnsi="宋体" w:eastAsia="宋体" w:cs="宋体"/>
          <w:lang w:eastAsia="zh-CN"/>
        </w:rPr>
      </w:pPr>
      <w:r>
        <w:rPr>
          <w:rFonts w:hint="eastAsia" w:ascii="方正舒体" w:hAnsi="方正舒体" w:eastAsia="方正舒体" w:cs="方正舒体"/>
        </w:rPr>
        <w:t>——</w:t>
      </w:r>
      <w:r>
        <w:rPr>
          <w:rFonts w:hint="eastAsia" w:ascii="宋体" w:hAnsi="宋体" w:cs="宋体"/>
          <w:lang w:eastAsia="zh-CN"/>
        </w:rPr>
        <w:t>完好</w:t>
      </w:r>
      <w:r>
        <w:rPr>
          <w:rFonts w:hint="eastAsia" w:ascii="宋体" w:hAnsi="宋体" w:eastAsia="宋体" w:cs="宋体"/>
          <w:lang w:eastAsia="zh-CN"/>
        </w:rPr>
        <w:t>；</w:t>
      </w:r>
    </w:p>
    <w:p>
      <w:pPr>
        <w:numPr>
          <w:ilvl w:val="0"/>
          <w:numId w:val="0"/>
        </w:numPr>
        <w:ind w:leftChars="0" w:firstLine="420" w:firstLineChars="200"/>
        <w:rPr>
          <w:rFonts w:hint="eastAsia" w:ascii="宋体" w:hAnsi="宋体" w:eastAsia="宋体" w:cs="宋体"/>
          <w:lang w:eastAsia="zh-CN"/>
        </w:rPr>
      </w:pPr>
      <w:r>
        <w:rPr>
          <w:rFonts w:hint="eastAsia" w:ascii="方正舒体" w:hAnsi="方正舒体" w:eastAsia="方正舒体" w:cs="方正舒体"/>
        </w:rPr>
        <w:t>——</w:t>
      </w:r>
      <w:r>
        <w:rPr>
          <w:rFonts w:hint="eastAsia" w:ascii="宋体" w:hAnsi="宋体" w:cs="宋体"/>
          <w:lang w:eastAsia="zh-CN"/>
        </w:rPr>
        <w:t>洁净</w:t>
      </w:r>
      <w:r>
        <w:rPr>
          <w:rFonts w:hint="eastAsia" w:ascii="宋体" w:hAnsi="宋体" w:eastAsia="宋体" w:cs="宋体"/>
          <w:lang w:eastAsia="zh-CN"/>
        </w:rPr>
        <w:t>；</w:t>
      </w:r>
    </w:p>
    <w:p>
      <w:pPr>
        <w:numPr>
          <w:ilvl w:val="0"/>
          <w:numId w:val="0"/>
        </w:numPr>
        <w:ind w:leftChars="0" w:firstLine="420" w:firstLineChars="200"/>
        <w:rPr>
          <w:rFonts w:hint="eastAsia" w:ascii="宋体" w:hAnsi="宋体" w:eastAsia="宋体" w:cs="宋体"/>
          <w:lang w:eastAsia="zh-CN"/>
        </w:rPr>
      </w:pPr>
      <w:r>
        <w:rPr>
          <w:rFonts w:hint="eastAsia" w:ascii="方正舒体" w:hAnsi="方正舒体" w:eastAsia="方正舒体" w:cs="方正舒体"/>
        </w:rPr>
        <w:t>——</w:t>
      </w:r>
      <w:r>
        <w:rPr>
          <w:rFonts w:hint="eastAsia" w:ascii="宋体" w:hAnsi="宋体" w:cs="宋体"/>
          <w:lang w:eastAsia="zh-CN"/>
        </w:rPr>
        <w:t>无害虫、虫伤、病疤</w:t>
      </w:r>
      <w:r>
        <w:rPr>
          <w:rFonts w:hint="eastAsia" w:ascii="宋体" w:hAnsi="宋体" w:eastAsia="宋体" w:cs="宋体"/>
          <w:lang w:eastAsia="zh-CN"/>
        </w:rPr>
        <w:t>；</w:t>
      </w:r>
    </w:p>
    <w:p>
      <w:pPr>
        <w:numPr>
          <w:ilvl w:val="0"/>
          <w:numId w:val="0"/>
        </w:numPr>
        <w:ind w:leftChars="0" w:firstLine="420" w:firstLineChars="200"/>
        <w:rPr>
          <w:rFonts w:hint="eastAsia" w:ascii="宋体" w:hAnsi="宋体" w:eastAsia="宋体" w:cs="宋体"/>
          <w:lang w:eastAsia="zh-CN"/>
        </w:rPr>
      </w:pPr>
      <w:r>
        <w:rPr>
          <w:rFonts w:hint="eastAsia" w:ascii="方正舒体" w:hAnsi="方正舒体" w:eastAsia="方正舒体" w:cs="方正舒体"/>
        </w:rPr>
        <w:t>——</w:t>
      </w:r>
      <w:r>
        <w:rPr>
          <w:rFonts w:hint="eastAsia" w:ascii="宋体" w:hAnsi="宋体" w:eastAsia="宋体" w:cs="宋体"/>
          <w:lang w:eastAsia="zh-CN"/>
        </w:rPr>
        <w:t>无异常外部水分；</w:t>
      </w:r>
    </w:p>
    <w:p>
      <w:pPr>
        <w:numPr>
          <w:ilvl w:val="0"/>
          <w:numId w:val="0"/>
        </w:numPr>
        <w:ind w:leftChars="0" w:firstLine="420" w:firstLineChars="200"/>
        <w:rPr>
          <w:rFonts w:hint="eastAsia" w:ascii="宋体" w:hAnsi="宋体" w:eastAsia="宋体" w:cs="宋体"/>
          <w:lang w:eastAsia="zh-CN"/>
        </w:rPr>
      </w:pPr>
      <w:r>
        <w:rPr>
          <w:rFonts w:hint="eastAsia" w:ascii="方正舒体" w:hAnsi="方正舒体" w:eastAsia="方正舒体" w:cs="方正舒体"/>
        </w:rPr>
        <w:t>——</w:t>
      </w:r>
      <w:r>
        <w:rPr>
          <w:rFonts w:hint="eastAsia" w:ascii="宋体" w:hAnsi="宋体" w:eastAsia="宋体" w:cs="宋体"/>
          <w:lang w:eastAsia="zh-CN"/>
        </w:rPr>
        <w:t>无异味；</w:t>
      </w:r>
    </w:p>
    <w:p>
      <w:pPr>
        <w:numPr>
          <w:ilvl w:val="0"/>
          <w:numId w:val="0"/>
        </w:numPr>
        <w:ind w:leftChars="0" w:firstLine="420" w:firstLineChars="200"/>
        <w:rPr>
          <w:rFonts w:hint="eastAsia"/>
          <w:lang w:val="en-US" w:eastAsia="zh-CN"/>
        </w:rPr>
      </w:pPr>
      <w:r>
        <w:rPr>
          <w:rFonts w:hint="eastAsia" w:ascii="方正舒体" w:hAnsi="方正舒体" w:eastAsia="方正舒体" w:cs="方正舒体"/>
        </w:rPr>
        <w:t>——</w:t>
      </w:r>
      <w:r>
        <w:rPr>
          <w:rFonts w:hint="eastAsia" w:ascii="宋体" w:hAnsi="宋体" w:cs="宋体"/>
          <w:lang w:eastAsia="zh-CN"/>
        </w:rPr>
        <w:t>充分发育，达到市场和运输贮藏所要求的成熟度。</w:t>
      </w:r>
    </w:p>
    <w:p>
      <w:pPr>
        <w:pStyle w:val="27"/>
        <w:numPr>
          <w:ilvl w:val="2"/>
          <w:numId w:val="0"/>
        </w:numPr>
        <w:spacing w:before="156" w:after="156"/>
        <w:ind w:leftChars="0"/>
        <w:rPr>
          <w:rFonts w:hint="eastAsia"/>
          <w:lang w:val="en-US" w:eastAsia="zh-CN"/>
        </w:rPr>
      </w:pPr>
      <w:r>
        <w:rPr>
          <w:rFonts w:hint="eastAsia"/>
          <w:lang w:val="en-US" w:eastAsia="zh-CN"/>
        </w:rPr>
        <w:t>4.1.2  等级划分</w:t>
      </w:r>
    </w:p>
    <w:p>
      <w:pPr>
        <w:ind w:firstLine="420" w:firstLineChars="200"/>
        <w:rPr>
          <w:rFonts w:hint="eastAsia"/>
          <w:lang w:val="en-US" w:eastAsia="zh-CN"/>
        </w:rPr>
      </w:pPr>
      <w:r>
        <w:rPr>
          <w:rFonts w:hint="eastAsia" w:ascii="宋体" w:hAnsi="宋体" w:cs="宋体"/>
          <w:lang w:val="en-US" w:eastAsia="zh-CN"/>
        </w:rPr>
        <w:t>大豆主要品种等级划分见表1。</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pPr>
      <w:r>
        <w:rPr>
          <w:rFonts w:hint="eastAsia" w:ascii="黑体" w:hAnsi="黑体" w:eastAsia="黑体" w:cs="黑体"/>
          <w:lang w:val="en-US" w:eastAsia="zh-CN"/>
        </w:rPr>
        <w:t>表1  大豆规格</w:t>
      </w:r>
    </w:p>
    <w:p>
      <w:pPr>
        <w:pStyle w:val="20"/>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等级</w:t>
            </w:r>
          </w:p>
        </w:tc>
        <w:tc>
          <w:tcPr>
            <w:tcW w:w="1420" w:type="dxa"/>
            <w:vMerge w:val="restart"/>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纯粮率</w:t>
            </w:r>
            <w:r>
              <w:rPr>
                <w:rFonts w:hint="eastAsia" w:ascii="宋体" w:hAnsi="宋体" w:eastAsia="宋体" w:cs="宋体"/>
                <w:sz w:val="18"/>
                <w:szCs w:val="18"/>
                <w:vertAlign w:val="baseline"/>
                <w:lang w:val="en-US" w:eastAsia="zh-CN"/>
              </w:rPr>
              <w:t>%</w:t>
            </w:r>
          </w:p>
        </w:tc>
        <w:tc>
          <w:tcPr>
            <w:tcW w:w="2840" w:type="dxa"/>
            <w:gridSpan w:val="2"/>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杂质</w:t>
            </w:r>
            <w:r>
              <w:rPr>
                <w:rFonts w:hint="eastAsia" w:ascii="宋体" w:hAnsi="宋体" w:eastAsia="宋体" w:cs="宋体"/>
                <w:sz w:val="18"/>
                <w:szCs w:val="18"/>
                <w:vertAlign w:val="baseline"/>
                <w:lang w:val="en-US" w:eastAsia="zh-CN"/>
              </w:rPr>
              <w:t>/%</w:t>
            </w:r>
          </w:p>
        </w:tc>
        <w:tc>
          <w:tcPr>
            <w:tcW w:w="1421" w:type="dxa"/>
            <w:vMerge w:val="restart"/>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水分</w:t>
            </w:r>
            <w:r>
              <w:rPr>
                <w:rFonts w:hint="eastAsia" w:ascii="宋体" w:hAnsi="宋体" w:eastAsia="宋体" w:cs="宋体"/>
                <w:sz w:val="18"/>
                <w:szCs w:val="18"/>
                <w:vertAlign w:val="baseline"/>
                <w:lang w:val="en-US" w:eastAsia="zh-CN"/>
              </w:rPr>
              <w:t>/%</w:t>
            </w:r>
          </w:p>
        </w:tc>
        <w:tc>
          <w:tcPr>
            <w:tcW w:w="1421" w:type="dxa"/>
            <w:vMerge w:val="restart"/>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色泽、气味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center"/>
          </w:tcPr>
          <w:p>
            <w:pPr>
              <w:jc w:val="center"/>
              <w:rPr>
                <w:rFonts w:hint="eastAsia" w:ascii="宋体" w:hAnsi="宋体" w:eastAsia="宋体" w:cs="宋体"/>
                <w:sz w:val="18"/>
                <w:szCs w:val="18"/>
                <w:vertAlign w:val="baseline"/>
              </w:rPr>
            </w:pP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0" w:type="dxa"/>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总量</w:t>
            </w:r>
          </w:p>
        </w:tc>
        <w:tc>
          <w:tcPr>
            <w:tcW w:w="1420" w:type="dxa"/>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其中：无机杂质</w:t>
            </w:r>
          </w:p>
        </w:tc>
        <w:tc>
          <w:tcPr>
            <w:tcW w:w="1421" w:type="dxa"/>
            <w:vMerge w:val="continue"/>
            <w:noWrap w:val="0"/>
            <w:vAlign w:val="center"/>
          </w:tcPr>
          <w:p>
            <w:pPr>
              <w:jc w:val="center"/>
              <w:rPr>
                <w:rFonts w:hint="eastAsia" w:ascii="宋体" w:hAnsi="宋体" w:eastAsia="宋体" w:cs="宋体"/>
                <w:sz w:val="18"/>
                <w:szCs w:val="18"/>
                <w:vertAlign w:val="baseline"/>
              </w:rPr>
            </w:pPr>
          </w:p>
        </w:tc>
        <w:tc>
          <w:tcPr>
            <w:tcW w:w="1421" w:type="dxa"/>
            <w:vMerge w:val="continue"/>
            <w:noWrap w:val="0"/>
            <w:vAlign w:val="center"/>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420"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98.0</w:t>
            </w:r>
          </w:p>
        </w:tc>
        <w:tc>
          <w:tcPr>
            <w:tcW w:w="1420" w:type="dxa"/>
            <w:vMerge w:val="restart"/>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1.0</w:t>
            </w:r>
          </w:p>
        </w:tc>
        <w:tc>
          <w:tcPr>
            <w:tcW w:w="1420" w:type="dxa"/>
            <w:vMerge w:val="restart"/>
            <w:noWrap w:val="0"/>
            <w:vAlign w:val="center"/>
          </w:tcPr>
          <w:p>
            <w:pPr>
              <w:jc w:val="center"/>
              <w:rPr>
                <w:rFonts w:hint="eastAsia" w:ascii="宋体" w:hAnsi="宋体" w:eastAsia="宋体" w:cs="宋体"/>
                <w:sz w:val="18"/>
                <w:szCs w:val="18"/>
                <w:vertAlign w:val="baseline"/>
                <w:lang w:val="en-US"/>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0.5</w:t>
            </w:r>
          </w:p>
        </w:tc>
        <w:tc>
          <w:tcPr>
            <w:tcW w:w="1421" w:type="dxa"/>
            <w:vMerge w:val="restart"/>
            <w:noWrap w:val="0"/>
            <w:vAlign w:val="center"/>
          </w:tcPr>
          <w:p>
            <w:p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12.0</w:t>
            </w:r>
          </w:p>
        </w:tc>
        <w:tc>
          <w:tcPr>
            <w:tcW w:w="1421" w:type="dxa"/>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色泽新鲜、无异味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420" w:type="dxa"/>
            <w:noWrap w:val="0"/>
            <w:vAlign w:val="center"/>
          </w:tcPr>
          <w:p>
            <w:pPr>
              <w:jc w:val="center"/>
              <w:rPr>
                <w:rFonts w:hint="eastAsia" w:ascii="宋体" w:hAnsi="宋体" w:eastAsia="宋体" w:cs="宋体"/>
                <w:sz w:val="18"/>
                <w:szCs w:val="18"/>
                <w:vertAlign w:val="baseline"/>
                <w:lang w:val="en-US"/>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95.0</w:t>
            </w: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1" w:type="dxa"/>
            <w:vMerge w:val="continue"/>
            <w:noWrap w:val="0"/>
            <w:vAlign w:val="center"/>
          </w:tcPr>
          <w:p>
            <w:pPr>
              <w:jc w:val="center"/>
              <w:rPr>
                <w:rFonts w:hint="eastAsia" w:ascii="宋体" w:hAnsi="宋体" w:eastAsia="宋体" w:cs="宋体"/>
                <w:sz w:val="18"/>
                <w:szCs w:val="18"/>
                <w:vertAlign w:val="baseline"/>
              </w:rPr>
            </w:pPr>
          </w:p>
        </w:tc>
        <w:tc>
          <w:tcPr>
            <w:tcW w:w="1421" w:type="dxa"/>
            <w:noWrap w:val="0"/>
            <w:vAlign w:val="center"/>
          </w:tcPr>
          <w:p>
            <w:p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色泽较暗、无异味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420" w:type="dxa"/>
            <w:noWrap w:val="0"/>
            <w:vAlign w:val="center"/>
          </w:tcPr>
          <w:p>
            <w:p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92.0</w:t>
            </w: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1" w:type="dxa"/>
            <w:vMerge w:val="continue"/>
            <w:noWrap w:val="0"/>
            <w:vAlign w:val="center"/>
          </w:tcPr>
          <w:p>
            <w:pPr>
              <w:jc w:val="center"/>
              <w:rPr>
                <w:rFonts w:hint="eastAsia" w:ascii="宋体" w:hAnsi="宋体" w:eastAsia="宋体" w:cs="宋体"/>
                <w:sz w:val="18"/>
                <w:szCs w:val="18"/>
                <w:vertAlign w:val="baseline"/>
              </w:rPr>
            </w:pPr>
          </w:p>
        </w:tc>
        <w:tc>
          <w:tcPr>
            <w:tcW w:w="1421" w:type="dxa"/>
            <w:noWrap w:val="0"/>
            <w:vAlign w:val="center"/>
          </w:tcPr>
          <w:p>
            <w:p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色泽陈旧、无异味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等外</w:t>
            </w:r>
          </w:p>
        </w:tc>
        <w:tc>
          <w:tcPr>
            <w:tcW w:w="1420"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92.0</w:t>
            </w: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0" w:type="dxa"/>
            <w:vMerge w:val="continue"/>
            <w:noWrap w:val="0"/>
            <w:vAlign w:val="center"/>
          </w:tcPr>
          <w:p>
            <w:pPr>
              <w:jc w:val="center"/>
              <w:rPr>
                <w:rFonts w:hint="eastAsia" w:ascii="宋体" w:hAnsi="宋体" w:eastAsia="宋体" w:cs="宋体"/>
                <w:sz w:val="18"/>
                <w:szCs w:val="18"/>
                <w:vertAlign w:val="baseline"/>
              </w:rPr>
            </w:pPr>
          </w:p>
        </w:tc>
        <w:tc>
          <w:tcPr>
            <w:tcW w:w="1421" w:type="dxa"/>
            <w:vMerge w:val="continue"/>
            <w:noWrap w:val="0"/>
            <w:vAlign w:val="center"/>
          </w:tcPr>
          <w:p>
            <w:pPr>
              <w:jc w:val="center"/>
              <w:rPr>
                <w:rFonts w:hint="eastAsia" w:ascii="宋体" w:hAnsi="宋体" w:eastAsia="宋体" w:cs="宋体"/>
                <w:sz w:val="18"/>
                <w:szCs w:val="18"/>
                <w:vertAlign w:val="baseline"/>
              </w:rPr>
            </w:pPr>
          </w:p>
        </w:tc>
        <w:tc>
          <w:tcPr>
            <w:tcW w:w="1421" w:type="dxa"/>
            <w:noWrap w:val="0"/>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bl>
    <w:p>
      <w:pPr>
        <w:pStyle w:val="26"/>
        <w:numPr>
          <w:ilvl w:val="1"/>
          <w:numId w:val="0"/>
        </w:numPr>
        <w:ind w:leftChars="0"/>
        <w:rPr>
          <w:rFonts w:hint="default"/>
          <w:lang w:val="en-US" w:eastAsia="zh-CN"/>
        </w:rPr>
      </w:pPr>
      <w:r>
        <w:rPr>
          <w:rFonts w:hint="eastAsia"/>
          <w:lang w:val="en-US" w:eastAsia="zh-CN"/>
        </w:rPr>
        <w:t>4.1.3  容许度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a）  按</w:t>
      </w:r>
      <w:r>
        <w:rPr>
          <w:rFonts w:hint="eastAsia" w:ascii="宋体" w:hAnsi="宋体" w:cs="宋体"/>
          <w:lang w:val="en-US" w:eastAsia="zh-CN"/>
        </w:rPr>
        <w:t>质量</w:t>
      </w:r>
      <w:r>
        <w:rPr>
          <w:rFonts w:hint="eastAsia" w:ascii="宋体" w:hAnsi="宋体" w:eastAsia="宋体" w:cs="宋体"/>
          <w:lang w:val="en-US" w:eastAsia="zh-CN"/>
        </w:rPr>
        <w:t>计，特级允许有</w:t>
      </w:r>
      <w:r>
        <w:rPr>
          <w:rFonts w:hint="eastAsia" w:ascii="宋体" w:hAnsi="宋体" w:cs="宋体"/>
          <w:lang w:val="en-US" w:eastAsia="zh-CN"/>
        </w:rPr>
        <w:t>不超过</w:t>
      </w:r>
      <w:r>
        <w:rPr>
          <w:rFonts w:hint="eastAsia" w:ascii="宋体" w:hAnsi="宋体" w:eastAsia="宋体" w:cs="宋体"/>
          <w:lang w:val="en-US" w:eastAsia="zh-CN"/>
        </w:rPr>
        <w:t>5%</w:t>
      </w:r>
      <w:r>
        <w:rPr>
          <w:rFonts w:hint="eastAsia" w:ascii="宋体" w:hAnsi="宋体" w:cs="宋体"/>
          <w:lang w:val="en-US" w:eastAsia="zh-CN"/>
        </w:rPr>
        <w:t>的大豆</w:t>
      </w:r>
      <w:r>
        <w:rPr>
          <w:rFonts w:hint="eastAsia" w:ascii="宋体" w:hAnsi="宋体" w:eastAsia="宋体" w:cs="宋体"/>
          <w:lang w:val="en-US" w:eastAsia="zh-CN"/>
        </w:rPr>
        <w:t>不符合该等级的要求，但应符合一级的要求；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b）  按</w:t>
      </w:r>
      <w:r>
        <w:rPr>
          <w:rFonts w:hint="eastAsia" w:ascii="宋体" w:hAnsi="宋体" w:cs="宋体"/>
          <w:lang w:val="en-US" w:eastAsia="zh-CN"/>
        </w:rPr>
        <w:t>质量</w:t>
      </w:r>
      <w:r>
        <w:rPr>
          <w:rFonts w:hint="eastAsia" w:ascii="宋体" w:hAnsi="宋体" w:eastAsia="宋体" w:cs="宋体"/>
          <w:lang w:val="en-US" w:eastAsia="zh-CN"/>
        </w:rPr>
        <w:t>计，一级允许有</w:t>
      </w:r>
      <w:r>
        <w:rPr>
          <w:rFonts w:hint="eastAsia" w:ascii="宋体" w:hAnsi="宋体" w:cs="宋体"/>
          <w:lang w:val="en-US" w:eastAsia="zh-CN"/>
        </w:rPr>
        <w:t>不超过</w:t>
      </w:r>
      <w:r>
        <w:rPr>
          <w:rFonts w:hint="eastAsia" w:ascii="宋体" w:hAnsi="宋体" w:eastAsia="宋体" w:cs="宋体"/>
          <w:lang w:val="en-US" w:eastAsia="zh-CN"/>
        </w:rPr>
        <w:t>10%的</w:t>
      </w:r>
      <w:r>
        <w:rPr>
          <w:rFonts w:hint="eastAsia" w:ascii="宋体" w:hAnsi="宋体" w:cs="宋体"/>
          <w:lang w:val="en-US" w:eastAsia="zh-CN"/>
        </w:rPr>
        <w:t>大豆</w:t>
      </w:r>
      <w:r>
        <w:rPr>
          <w:rFonts w:hint="eastAsia" w:ascii="宋体" w:hAnsi="宋体" w:eastAsia="宋体" w:cs="宋体"/>
          <w:lang w:val="en-US" w:eastAsia="zh-CN"/>
        </w:rPr>
        <w:t>不符合该等级的要求，但应符合二级的要求；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宋体" w:hAnsi="宋体" w:cs="宋体"/>
          <w:lang w:val="en-US" w:eastAsia="zh-CN"/>
        </w:rPr>
      </w:pPr>
      <w:r>
        <w:rPr>
          <w:rFonts w:hint="eastAsia" w:ascii="宋体" w:hAnsi="宋体" w:eastAsia="宋体" w:cs="宋体"/>
          <w:lang w:val="en-US" w:eastAsia="zh-CN"/>
        </w:rPr>
        <w:t>c）  按</w:t>
      </w:r>
      <w:r>
        <w:rPr>
          <w:rFonts w:hint="eastAsia" w:ascii="宋体" w:hAnsi="宋体" w:cs="宋体"/>
          <w:lang w:val="en-US" w:eastAsia="zh-CN"/>
        </w:rPr>
        <w:t>质量</w:t>
      </w:r>
      <w:r>
        <w:rPr>
          <w:rFonts w:hint="eastAsia" w:ascii="宋体" w:hAnsi="宋体" w:eastAsia="宋体" w:cs="宋体"/>
          <w:lang w:val="en-US" w:eastAsia="zh-CN"/>
        </w:rPr>
        <w:t>计，二级允许有</w:t>
      </w:r>
      <w:r>
        <w:rPr>
          <w:rFonts w:hint="eastAsia" w:ascii="宋体" w:hAnsi="宋体" w:cs="宋体"/>
          <w:lang w:val="en-US" w:eastAsia="zh-CN"/>
        </w:rPr>
        <w:t>不超过</w:t>
      </w:r>
      <w:r>
        <w:rPr>
          <w:rFonts w:hint="eastAsia" w:ascii="宋体" w:hAnsi="宋体" w:eastAsia="宋体" w:cs="宋体"/>
          <w:lang w:val="en-US" w:eastAsia="zh-CN"/>
        </w:rPr>
        <w:t>10%</w:t>
      </w:r>
      <w:r>
        <w:rPr>
          <w:rFonts w:hint="eastAsia" w:ascii="宋体" w:hAnsi="宋体" w:cs="宋体"/>
          <w:lang w:val="en-US" w:eastAsia="zh-CN"/>
        </w:rPr>
        <w:t>的大豆</w:t>
      </w:r>
      <w:r>
        <w:rPr>
          <w:rFonts w:hint="eastAsia" w:ascii="宋体" w:hAnsi="宋体" w:eastAsia="宋体" w:cs="宋体"/>
          <w:lang w:val="en-US" w:eastAsia="zh-CN"/>
        </w:rPr>
        <w:t>不符合该等级的要求，但应符合基本要求</w:t>
      </w:r>
      <w:r>
        <w:rPr>
          <w:rFonts w:hint="eastAsia" w:ascii="宋体" w:hAnsi="宋体" w:cs="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lang w:val="en-US" w:eastAsia="zh-CN"/>
        </w:rPr>
      </w:pPr>
      <w:r>
        <w:rPr>
          <w:rFonts w:hint="eastAsia" w:ascii="黑体" w:hAnsi="黑体" w:eastAsia="黑体" w:cs="黑体"/>
          <w:lang w:val="en-US" w:eastAsia="zh-CN"/>
        </w:rPr>
        <w:t>5  检验规则</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黑体" w:hAnsi="黑体" w:eastAsia="黑体" w:cs="黑体"/>
          <w:lang w:val="en-US" w:eastAsia="zh-CN"/>
        </w:rPr>
      </w:pPr>
      <w:r>
        <w:rPr>
          <w:rFonts w:hint="eastAsia" w:ascii="黑体" w:hAnsi="黑体" w:eastAsia="黑体" w:cs="黑体"/>
          <w:lang w:val="en-US" w:eastAsia="zh-CN"/>
        </w:rPr>
        <w:t>5.1  检验批次</w:t>
      </w:r>
    </w:p>
    <w:p>
      <w:pPr>
        <w:ind w:firstLine="420" w:firstLineChars="200"/>
        <w:rPr>
          <w:rFonts w:hint="eastAsia" w:eastAsia="宋体"/>
          <w:lang w:eastAsia="zh-CN"/>
        </w:rPr>
      </w:pPr>
      <w:r>
        <w:rPr>
          <w:rFonts w:hint="eastAsia"/>
          <w:lang w:eastAsia="zh-CN"/>
        </w:rPr>
        <w:t>同一生产基地、同一品种、同一成熟度、同一批采收的大豆作为一个检验批次。</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lang w:val="en-US" w:eastAsia="zh-CN"/>
        </w:rPr>
      </w:pPr>
      <w:r>
        <w:rPr>
          <w:rFonts w:hint="eastAsia" w:ascii="黑体" w:hAnsi="黑体" w:eastAsia="黑体" w:cs="黑体"/>
          <w:lang w:val="en-US" w:eastAsia="zh-CN"/>
        </w:rPr>
        <w:t>5.2  抽样方法</w:t>
      </w:r>
    </w:p>
    <w:p>
      <w:pPr>
        <w:ind w:firstLine="420" w:firstLineChars="200"/>
        <w:rPr>
          <w:rFonts w:hint="eastAsia" w:eastAsia="宋体"/>
          <w:lang w:val="en-US" w:eastAsia="zh-CN"/>
        </w:rPr>
      </w:pPr>
      <w:r>
        <w:rPr>
          <w:rFonts w:hint="eastAsia"/>
          <w:lang w:eastAsia="zh-CN"/>
        </w:rPr>
        <w:t>抽样方法按照</w:t>
      </w:r>
      <w:r>
        <w:rPr>
          <w:rFonts w:hint="eastAsia" w:ascii="宋体" w:hAnsi="宋体" w:eastAsia="宋体" w:cs="宋体"/>
          <w:szCs w:val="22"/>
        </w:rPr>
        <w:t>GB/T 8855</w:t>
      </w:r>
      <w:r>
        <w:rPr>
          <w:rFonts w:hint="eastAsia"/>
          <w:szCs w:val="22"/>
          <w:lang w:eastAsia="zh-CN"/>
        </w:rPr>
        <w:t>规定执行。</w:t>
      </w:r>
    </w:p>
    <w:p/>
    <w:p/>
    <w:p>
      <w:pPr>
        <w:numPr>
          <w:ilvl w:val="0"/>
          <w:numId w:val="0"/>
        </w:numPr>
        <w:jc w:val="center"/>
        <w:rPr>
          <w:rFonts w:hint="default" w:ascii="宋体" w:hAnsi="宋体" w:cs="宋体"/>
          <w:kern w:val="2"/>
          <w:sz w:val="21"/>
          <w:szCs w:val="24"/>
          <w:vertAlign w:val="baseline"/>
          <w:lang w:val="en-US" w:eastAsia="zh-CN" w:bidi="ar-SA"/>
        </w:rPr>
      </w:pPr>
      <w:r>
        <w:t>_________________________________</w:t>
      </w:r>
    </w:p>
    <w:p/>
    <w:p>
      <w:pPr>
        <w:rPr>
          <w:rFonts w:hint="eastAsia" w:ascii="宋体" w:hAnsi="宋体" w:eastAsia="宋体" w:cs="宋体"/>
          <w:sz w:val="18"/>
          <w:szCs w:val="18"/>
        </w:rPr>
      </w:pPr>
    </w:p>
    <w:p/>
    <w:p/>
    <w:p/>
    <w:p/>
    <w:p/>
    <w:p/>
    <w:p/>
    <w:p/>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35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35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黑体"/>
        <w:lang w:eastAsia="zh-CN"/>
      </w:rPr>
    </w:pPr>
    <w:r>
      <w:t>Q/YTZ 0</w:t>
    </w:r>
    <w:r>
      <w:rPr>
        <w:rFonts w:hint="eastAsia"/>
        <w:lang w:val="en-US" w:eastAsia="zh-CN"/>
      </w:rPr>
      <w:t>24</w:t>
    </w:r>
    <w:r>
      <w:t>.4—202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2156E"/>
    <w:rsid w:val="0872156E"/>
    <w:rsid w:val="5AF5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其他标准标志"/>
    <w:basedOn w:val="8"/>
    <w:qFormat/>
    <w:uiPriority w:val="0"/>
    <w:pPr>
      <w:framePr w:w="6101" w:vAnchor="page" w:hAnchor="page" w:x="4673" w:y="942"/>
    </w:pPr>
    <w:rPr>
      <w:w w:val="130"/>
    </w:rPr>
  </w:style>
  <w:style w:type="paragraph" w:customStyle="1" w:styleId="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
    <w:name w:val="封面标准英文名称"/>
    <w:basedOn w:val="12"/>
    <w:qFormat/>
    <w:uiPriority w:val="0"/>
    <w:pPr>
      <w:spacing w:before="370" w:line="400" w:lineRule="exact"/>
    </w:pPr>
    <w:rPr>
      <w:rFonts w:ascii="Times New Roman"/>
      <w:sz w:val="28"/>
      <w:szCs w:val="28"/>
    </w:rPr>
  </w:style>
  <w:style w:type="paragraph" w:customStyle="1" w:styleId="14">
    <w:name w:val="其他发布日期"/>
    <w:basedOn w:val="15"/>
    <w:qFormat/>
    <w:uiPriority w:val="0"/>
    <w:pPr>
      <w:framePr w:vAnchor="page" w:hAnchor="page" w:x="1419"/>
    </w:pPr>
  </w:style>
  <w:style w:type="paragraph" w:customStyle="1" w:styleId="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style>
  <w:style w:type="paragraph" w:customStyle="1" w:styleId="17">
    <w:name w:val="实施日期"/>
    <w:basedOn w:val="15"/>
    <w:qFormat/>
    <w:uiPriority w:val="0"/>
    <w:pPr>
      <w:framePr w:vAnchor="page" w:hAnchor="page"/>
      <w:jc w:val="right"/>
    </w:pPr>
  </w:style>
  <w:style w:type="paragraph" w:customStyle="1" w:styleId="18">
    <w:name w:val="其他发布部门"/>
    <w:basedOn w:val="19"/>
    <w:qFormat/>
    <w:uiPriority w:val="0"/>
    <w:pPr>
      <w:framePr w:y="15310"/>
      <w:spacing w:line="0" w:lineRule="atLeast"/>
    </w:pPr>
    <w:rPr>
      <w:rFonts w:ascii="黑体" w:eastAsia="黑体"/>
      <w:b w:val="0"/>
    </w:rPr>
  </w:style>
  <w:style w:type="paragraph" w:customStyle="1" w:styleId="19">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发布"/>
    <w:basedOn w:val="6"/>
    <w:qFormat/>
    <w:uiPriority w:val="0"/>
    <w:rPr>
      <w:rFonts w:ascii="黑体" w:eastAsia="黑体"/>
      <w:spacing w:val="85"/>
      <w:w w:val="100"/>
      <w:position w:val="3"/>
      <w:sz w:val="28"/>
      <w:szCs w:val="28"/>
    </w:r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2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7">
    <w:name w:val="二级条标题"/>
    <w:basedOn w:val="26"/>
    <w:next w:val="20"/>
    <w:qFormat/>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2021-12-29T07:30:00Z</dcterms:created>
  <dc:creator>仲夏夜之梦</dc:creator>
  <cp:lastModifiedBy>仲夏夜之梦</cp:lastModifiedBy>
  <dcterms:modified xsi:type="dcterms:W3CDTF">2021-12-29T08:02:17Z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8CF9981A234C4806998E54CF23235A41</vt:lpwstr>
  </property>
</Properties>
</file>